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4034" w14:textId="77777777" w:rsidR="008B0D96" w:rsidRPr="0095321A" w:rsidRDefault="008B0D96" w:rsidP="008B0D96">
      <w:pPr>
        <w:widowControl w:val="0"/>
        <w:suppressAutoHyphens/>
        <w:spacing w:line="240" w:lineRule="atLeast"/>
        <w:jc w:val="center"/>
        <w:rPr>
          <w:b/>
          <w:bCs/>
          <w:szCs w:val="24"/>
        </w:rPr>
      </w:pPr>
      <w:bookmarkStart w:id="0" w:name="_Hlk114753740"/>
      <w:r w:rsidRPr="0095321A">
        <w:rPr>
          <w:b/>
          <w:bCs/>
          <w:szCs w:val="24"/>
        </w:rPr>
        <w:t>UNITED STATES DISTRICT COURT</w:t>
      </w:r>
    </w:p>
    <w:p w14:paraId="43B1EFF8" w14:textId="77777777" w:rsidR="008B0D96" w:rsidRPr="0095321A" w:rsidRDefault="008B0D96" w:rsidP="008B0D96">
      <w:pPr>
        <w:widowControl w:val="0"/>
        <w:suppressAutoHyphens/>
        <w:spacing w:after="240" w:line="240" w:lineRule="atLeast"/>
        <w:jc w:val="center"/>
        <w:rPr>
          <w:b/>
          <w:bCs/>
          <w:szCs w:val="24"/>
        </w:rPr>
      </w:pPr>
      <w:r w:rsidRPr="0095321A">
        <w:rPr>
          <w:b/>
          <w:bCs/>
          <w:szCs w:val="24"/>
        </w:rPr>
        <w:t>WESTERN DISTRICT OF PENNSYLVANIA</w:t>
      </w:r>
    </w:p>
    <w:tbl>
      <w:tblPr>
        <w:tblStyle w:val="TableGrid"/>
        <w:tblW w:w="9452" w:type="dxa"/>
        <w:tblBorders>
          <w:top w:val="none" w:sz="0" w:space="0" w:color="auto"/>
          <w:left w:val="none" w:sz="0" w:space="0" w:color="auto"/>
          <w:bottom w:val="none" w:sz="0" w:space="0" w:color="auto"/>
          <w:right w:val="none" w:sz="0" w:space="0" w:color="auto"/>
          <w:insideV w:val="dotDash" w:sz="4" w:space="0" w:color="auto"/>
        </w:tblBorders>
        <w:tblLook w:val="04A0" w:firstRow="1" w:lastRow="0" w:firstColumn="1" w:lastColumn="0" w:noHBand="0" w:noVBand="1"/>
      </w:tblPr>
      <w:tblGrid>
        <w:gridCol w:w="5040"/>
        <w:gridCol w:w="4412"/>
      </w:tblGrid>
      <w:tr w:rsidR="008B0D96" w:rsidRPr="0095321A" w14:paraId="152A5D17" w14:textId="77777777" w:rsidTr="00E14C07">
        <w:tc>
          <w:tcPr>
            <w:tcW w:w="5040" w:type="dxa"/>
            <w:tcBorders>
              <w:top w:val="single" w:sz="4" w:space="0" w:color="auto"/>
              <w:left w:val="nil"/>
              <w:bottom w:val="single" w:sz="4" w:space="0" w:color="auto"/>
              <w:right w:val="single" w:sz="4" w:space="0" w:color="auto"/>
            </w:tcBorders>
          </w:tcPr>
          <w:p w14:paraId="1C4FD836" w14:textId="77777777" w:rsidR="008B0D96" w:rsidRPr="0095321A" w:rsidRDefault="008B0D96" w:rsidP="00E14C07">
            <w:pPr>
              <w:widowControl w:val="0"/>
              <w:suppressAutoHyphens/>
              <w:spacing w:before="240" w:line="240" w:lineRule="atLeast"/>
              <w:ind w:right="-20"/>
              <w:rPr>
                <w:szCs w:val="24"/>
              </w:rPr>
            </w:pPr>
            <w:r w:rsidRPr="0095321A">
              <w:rPr>
                <w:szCs w:val="24"/>
              </w:rPr>
              <w:t>BLAIR DOUGLASS, on behalf of himself and</w:t>
            </w:r>
            <w:r>
              <w:rPr>
                <w:szCs w:val="24"/>
              </w:rPr>
              <w:br/>
            </w:r>
            <w:r w:rsidRPr="0095321A">
              <w:rPr>
                <w:szCs w:val="24"/>
              </w:rPr>
              <w:t xml:space="preserve">all </w:t>
            </w:r>
            <w:r>
              <w:rPr>
                <w:szCs w:val="24"/>
              </w:rPr>
              <w:t xml:space="preserve">others </w:t>
            </w:r>
            <w:r w:rsidRPr="0095321A">
              <w:rPr>
                <w:szCs w:val="24"/>
              </w:rPr>
              <w:t>similarly situated,</w:t>
            </w:r>
          </w:p>
          <w:p w14:paraId="3E263E4C" w14:textId="77777777" w:rsidR="008B0D96" w:rsidRPr="0095321A" w:rsidRDefault="008B0D96" w:rsidP="00E14C07">
            <w:pPr>
              <w:widowControl w:val="0"/>
              <w:suppressAutoHyphens/>
              <w:spacing w:line="240" w:lineRule="atLeast"/>
              <w:rPr>
                <w:szCs w:val="24"/>
              </w:rPr>
            </w:pPr>
          </w:p>
          <w:p w14:paraId="5C30C9AB" w14:textId="77777777" w:rsidR="008B0D96" w:rsidRPr="0095321A" w:rsidRDefault="008B0D96" w:rsidP="00E14C07">
            <w:pPr>
              <w:widowControl w:val="0"/>
              <w:suppressAutoHyphens/>
              <w:spacing w:line="240" w:lineRule="atLeast"/>
              <w:rPr>
                <w:szCs w:val="24"/>
              </w:rPr>
            </w:pPr>
            <w:r w:rsidRPr="0095321A">
              <w:rPr>
                <w:szCs w:val="24"/>
              </w:rPr>
              <w:tab/>
            </w:r>
            <w:r w:rsidRPr="0095321A">
              <w:rPr>
                <w:szCs w:val="24"/>
              </w:rPr>
              <w:tab/>
            </w:r>
            <w:r w:rsidRPr="0095321A">
              <w:rPr>
                <w:szCs w:val="24"/>
              </w:rPr>
              <w:tab/>
              <w:t>Plaintiff,</w:t>
            </w:r>
          </w:p>
          <w:p w14:paraId="56B579B7" w14:textId="77777777" w:rsidR="008B0D96" w:rsidRPr="0095321A" w:rsidRDefault="008B0D96" w:rsidP="00E14C07">
            <w:pPr>
              <w:widowControl w:val="0"/>
              <w:suppressAutoHyphens/>
              <w:spacing w:line="240" w:lineRule="atLeast"/>
              <w:rPr>
                <w:szCs w:val="24"/>
              </w:rPr>
            </w:pPr>
          </w:p>
          <w:p w14:paraId="0B0B3E18" w14:textId="77777777" w:rsidR="008B0D96" w:rsidRPr="0095321A" w:rsidRDefault="008B0D96" w:rsidP="00E14C07">
            <w:pPr>
              <w:widowControl w:val="0"/>
              <w:suppressAutoHyphens/>
              <w:spacing w:line="240" w:lineRule="atLeast"/>
              <w:rPr>
                <w:szCs w:val="24"/>
              </w:rPr>
            </w:pPr>
            <w:r w:rsidRPr="0095321A">
              <w:rPr>
                <w:szCs w:val="24"/>
              </w:rPr>
              <w:tab/>
              <w:t>v.</w:t>
            </w:r>
          </w:p>
          <w:p w14:paraId="4959E5AD" w14:textId="77777777" w:rsidR="008B0D96" w:rsidRPr="0095321A" w:rsidRDefault="008B0D96" w:rsidP="00E14C07">
            <w:pPr>
              <w:widowControl w:val="0"/>
              <w:suppressAutoHyphens/>
              <w:spacing w:line="240" w:lineRule="atLeast"/>
              <w:rPr>
                <w:szCs w:val="24"/>
              </w:rPr>
            </w:pPr>
          </w:p>
          <w:p w14:paraId="18CCF837" w14:textId="77777777" w:rsidR="008B0D96" w:rsidRPr="0095321A" w:rsidRDefault="008B0D96" w:rsidP="00E14C07">
            <w:pPr>
              <w:widowControl w:val="0"/>
              <w:tabs>
                <w:tab w:val="left" w:pos="3782"/>
              </w:tabs>
              <w:suppressAutoHyphens/>
              <w:spacing w:line="240" w:lineRule="atLeast"/>
              <w:rPr>
                <w:szCs w:val="24"/>
              </w:rPr>
            </w:pPr>
            <w:r w:rsidRPr="0095321A">
              <w:rPr>
                <w:szCs w:val="24"/>
              </w:rPr>
              <w:t>MONDEL</w:t>
            </w:r>
            <w:r w:rsidRPr="001B4F9D">
              <w:rPr>
                <w:szCs w:val="24"/>
              </w:rPr>
              <w:t>Ē</w:t>
            </w:r>
            <w:r w:rsidRPr="0095321A">
              <w:rPr>
                <w:szCs w:val="24"/>
              </w:rPr>
              <w:t>Z GLOBAL LLC,</w:t>
            </w:r>
            <w:r w:rsidRPr="0095321A">
              <w:rPr>
                <w:szCs w:val="24"/>
              </w:rPr>
              <w:tab/>
            </w:r>
          </w:p>
          <w:p w14:paraId="0A5B0BB5" w14:textId="77777777" w:rsidR="008B0D96" w:rsidRPr="0095321A" w:rsidRDefault="008B0D96" w:rsidP="00E14C07">
            <w:pPr>
              <w:widowControl w:val="0"/>
              <w:suppressAutoHyphens/>
              <w:spacing w:line="240" w:lineRule="atLeast"/>
              <w:rPr>
                <w:szCs w:val="24"/>
              </w:rPr>
            </w:pPr>
          </w:p>
          <w:p w14:paraId="61DCDB4B" w14:textId="77777777" w:rsidR="008B0D96" w:rsidRPr="0095321A" w:rsidRDefault="008B0D96" w:rsidP="00E14C07">
            <w:pPr>
              <w:widowControl w:val="0"/>
              <w:spacing w:after="240" w:line="240" w:lineRule="atLeast"/>
              <w:rPr>
                <w:szCs w:val="24"/>
                <w:highlight w:val="yellow"/>
              </w:rPr>
            </w:pPr>
            <w:r w:rsidRPr="0095321A">
              <w:rPr>
                <w:szCs w:val="24"/>
              </w:rPr>
              <w:tab/>
            </w:r>
            <w:r w:rsidRPr="0095321A">
              <w:rPr>
                <w:szCs w:val="24"/>
              </w:rPr>
              <w:tab/>
            </w:r>
            <w:r w:rsidRPr="0095321A">
              <w:rPr>
                <w:szCs w:val="24"/>
              </w:rPr>
              <w:tab/>
              <w:t>Defendant.</w:t>
            </w:r>
          </w:p>
        </w:tc>
        <w:tc>
          <w:tcPr>
            <w:tcW w:w="4412" w:type="dxa"/>
            <w:tcBorders>
              <w:top w:val="nil"/>
              <w:left w:val="single" w:sz="4" w:space="0" w:color="auto"/>
              <w:bottom w:val="nil"/>
              <w:right w:val="nil"/>
            </w:tcBorders>
          </w:tcPr>
          <w:p w14:paraId="70D5C374" w14:textId="77777777" w:rsidR="008B0D96" w:rsidRPr="0095321A" w:rsidRDefault="008B0D96" w:rsidP="00E14C07">
            <w:pPr>
              <w:widowControl w:val="0"/>
              <w:spacing w:line="240" w:lineRule="atLeast"/>
              <w:rPr>
                <w:szCs w:val="24"/>
              </w:rPr>
            </w:pPr>
          </w:p>
          <w:p w14:paraId="53B838F8" w14:textId="77777777" w:rsidR="008B0D96" w:rsidRPr="0095321A" w:rsidRDefault="008B0D96" w:rsidP="00E14C07">
            <w:pPr>
              <w:widowControl w:val="0"/>
              <w:spacing w:line="240" w:lineRule="atLeast"/>
              <w:rPr>
                <w:szCs w:val="24"/>
              </w:rPr>
            </w:pPr>
          </w:p>
          <w:p w14:paraId="5D6E5770" w14:textId="77777777" w:rsidR="008B0D96" w:rsidRPr="0095321A" w:rsidRDefault="008B0D96" w:rsidP="00E14C07">
            <w:pPr>
              <w:widowControl w:val="0"/>
              <w:spacing w:line="240" w:lineRule="atLeast"/>
              <w:rPr>
                <w:szCs w:val="24"/>
              </w:rPr>
            </w:pPr>
          </w:p>
          <w:p w14:paraId="6D1D3941" w14:textId="77777777" w:rsidR="008B0D96" w:rsidRPr="0095321A" w:rsidRDefault="008B0D96" w:rsidP="00E14C07">
            <w:pPr>
              <w:widowControl w:val="0"/>
              <w:spacing w:line="240" w:lineRule="atLeast"/>
              <w:ind w:left="351"/>
              <w:rPr>
                <w:b/>
                <w:szCs w:val="24"/>
                <w:u w:val="single"/>
              </w:rPr>
            </w:pPr>
            <w:r w:rsidRPr="0095321A">
              <w:rPr>
                <w:szCs w:val="24"/>
              </w:rPr>
              <w:t>Civil Action No. 2:22-cv-00875-WSH</w:t>
            </w:r>
          </w:p>
        </w:tc>
      </w:tr>
    </w:tbl>
    <w:p w14:paraId="1541F32E" w14:textId="77777777" w:rsidR="008B0D96" w:rsidRPr="0095321A" w:rsidRDefault="008B0D96" w:rsidP="008B0D96">
      <w:pPr>
        <w:widowControl w:val="0"/>
        <w:suppressAutoHyphens/>
        <w:spacing w:line="240" w:lineRule="atLeast"/>
        <w:rPr>
          <w:szCs w:val="24"/>
          <w:highlight w:val="yellow"/>
        </w:rPr>
      </w:pPr>
    </w:p>
    <w:p w14:paraId="683516AA" w14:textId="7B648CFA" w:rsidR="00C1723D" w:rsidRPr="000C6BC1" w:rsidRDefault="008B0D96" w:rsidP="00C1723D">
      <w:pPr>
        <w:jc w:val="center"/>
        <w:rPr>
          <w:b/>
          <w:szCs w:val="24"/>
          <w:u w:val="single"/>
        </w:rPr>
      </w:pPr>
      <w:r>
        <w:rPr>
          <w:b/>
          <w:szCs w:val="24"/>
        </w:rPr>
        <w:t>MEMORANDUM</w:t>
      </w:r>
      <w:r w:rsidR="00C1723D" w:rsidRPr="000C6BC1">
        <w:rPr>
          <w:b/>
          <w:szCs w:val="24"/>
        </w:rPr>
        <w:t xml:space="preserve"> IN SUPPORT OF PLAINTIFF’</w:t>
      </w:r>
      <w:r w:rsidR="00074274" w:rsidRPr="000C6BC1">
        <w:rPr>
          <w:b/>
          <w:szCs w:val="24"/>
        </w:rPr>
        <w:t>S</w:t>
      </w:r>
      <w:r w:rsidR="00C1723D" w:rsidRPr="000C6BC1">
        <w:rPr>
          <w:b/>
          <w:szCs w:val="24"/>
        </w:rPr>
        <w:t xml:space="preserve"> MOTION FOR </w:t>
      </w:r>
      <w:r w:rsidR="00475C6F" w:rsidRPr="000C6BC1">
        <w:rPr>
          <w:b/>
          <w:szCs w:val="24"/>
        </w:rPr>
        <w:br/>
      </w:r>
      <w:r w:rsidR="00EF69DA" w:rsidRPr="000C6BC1">
        <w:rPr>
          <w:b/>
          <w:szCs w:val="24"/>
          <w:u w:val="single"/>
        </w:rPr>
        <w:t>ATTORNEYS</w:t>
      </w:r>
      <w:r w:rsidR="00074274" w:rsidRPr="000C6BC1">
        <w:rPr>
          <w:b/>
          <w:szCs w:val="24"/>
          <w:u w:val="single"/>
        </w:rPr>
        <w:t>’</w:t>
      </w:r>
      <w:r w:rsidR="00C1723D" w:rsidRPr="000C6BC1">
        <w:rPr>
          <w:b/>
          <w:szCs w:val="24"/>
          <w:u w:val="single"/>
        </w:rPr>
        <w:t xml:space="preserve"> FEES AND INCENTIVE AWARD</w:t>
      </w:r>
    </w:p>
    <w:p w14:paraId="2D5E6EC5" w14:textId="77777777" w:rsidR="002F792D" w:rsidRPr="000C6BC1" w:rsidRDefault="002F792D" w:rsidP="002F792D">
      <w:pPr>
        <w:rPr>
          <w:b/>
          <w:szCs w:val="24"/>
          <w:u w:val="single"/>
        </w:rPr>
      </w:pPr>
    </w:p>
    <w:p w14:paraId="6BCB6012" w14:textId="77777777" w:rsidR="002F792D" w:rsidRPr="000C6BC1" w:rsidRDefault="002F792D" w:rsidP="002F792D">
      <w:pPr>
        <w:rPr>
          <w:szCs w:val="24"/>
          <w:highlight w:val="yellow"/>
        </w:rPr>
        <w:sectPr w:rsidR="002F792D" w:rsidRPr="000C6BC1" w:rsidSect="00E37308">
          <w:footerReference w:type="default" r:id="rId8"/>
          <w:pgSz w:w="12240" w:h="15840"/>
          <w:pgMar w:top="1440" w:right="1440" w:bottom="1440" w:left="1440" w:header="720" w:footer="720" w:gutter="0"/>
          <w:pgNumType w:fmt="lowerRoman" w:start="1"/>
          <w:cols w:space="720"/>
          <w:titlePg/>
          <w:docGrid w:linePitch="360"/>
        </w:sectPr>
      </w:pPr>
    </w:p>
    <w:p w14:paraId="62A9034B" w14:textId="77777777" w:rsidR="00B3057D" w:rsidRPr="00604D5D" w:rsidRDefault="00B3057D" w:rsidP="00B3057D">
      <w:pPr>
        <w:spacing w:after="240"/>
        <w:jc w:val="center"/>
        <w:rPr>
          <w:b/>
          <w:szCs w:val="24"/>
          <w:u w:val="single"/>
        </w:rPr>
      </w:pPr>
      <w:r w:rsidRPr="00604D5D">
        <w:rPr>
          <w:b/>
          <w:szCs w:val="24"/>
          <w:u w:val="single"/>
        </w:rPr>
        <w:lastRenderedPageBreak/>
        <w:t>TABLE OF CONTENTS</w:t>
      </w:r>
    </w:p>
    <w:p w14:paraId="08F03522" w14:textId="77777777" w:rsidR="00B3057D" w:rsidRPr="00604D5D" w:rsidRDefault="00B3057D" w:rsidP="00B3057D">
      <w:pPr>
        <w:pStyle w:val="ListParagraph"/>
        <w:numPr>
          <w:ilvl w:val="0"/>
          <w:numId w:val="1"/>
        </w:numPr>
        <w:tabs>
          <w:tab w:val="right" w:leader="dot" w:pos="9346"/>
        </w:tabs>
        <w:spacing w:after="240"/>
        <w:ind w:left="720"/>
        <w:contextualSpacing w:val="0"/>
        <w:rPr>
          <w:szCs w:val="24"/>
        </w:rPr>
      </w:pPr>
      <w:r w:rsidRPr="00604D5D">
        <w:rPr>
          <w:szCs w:val="24"/>
        </w:rPr>
        <w:t xml:space="preserve">INTRODUCTION </w:t>
      </w:r>
      <w:r w:rsidRPr="00604D5D">
        <w:rPr>
          <w:szCs w:val="24"/>
        </w:rPr>
        <w:tab/>
        <w:t xml:space="preserve"> 1</w:t>
      </w:r>
    </w:p>
    <w:p w14:paraId="02330783" w14:textId="77777777" w:rsidR="00B3057D" w:rsidRPr="00604D5D" w:rsidRDefault="00B3057D" w:rsidP="00B3057D">
      <w:pPr>
        <w:pStyle w:val="ListParagraph"/>
        <w:numPr>
          <w:ilvl w:val="0"/>
          <w:numId w:val="1"/>
        </w:numPr>
        <w:tabs>
          <w:tab w:val="right" w:leader="dot" w:pos="9346"/>
        </w:tabs>
        <w:spacing w:after="240"/>
        <w:ind w:left="720"/>
        <w:contextualSpacing w:val="0"/>
        <w:rPr>
          <w:szCs w:val="24"/>
        </w:rPr>
      </w:pPr>
      <w:r w:rsidRPr="00604D5D">
        <w:rPr>
          <w:szCs w:val="24"/>
        </w:rPr>
        <w:t xml:space="preserve">RELEVANT TERMS OF THE SETTLEMENT AGREEMENT </w:t>
      </w:r>
      <w:r w:rsidRPr="00604D5D">
        <w:rPr>
          <w:szCs w:val="24"/>
        </w:rPr>
        <w:tab/>
        <w:t xml:space="preserve"> 2</w:t>
      </w:r>
    </w:p>
    <w:p w14:paraId="7AB3DBDE" w14:textId="77777777" w:rsidR="00B3057D" w:rsidRPr="00604D5D" w:rsidRDefault="00B3057D" w:rsidP="00B3057D">
      <w:pPr>
        <w:pStyle w:val="ListParagraph"/>
        <w:numPr>
          <w:ilvl w:val="0"/>
          <w:numId w:val="1"/>
        </w:numPr>
        <w:tabs>
          <w:tab w:val="right" w:leader="dot" w:pos="9346"/>
        </w:tabs>
        <w:spacing w:after="240"/>
        <w:ind w:left="720"/>
        <w:contextualSpacing w:val="0"/>
        <w:rPr>
          <w:szCs w:val="24"/>
        </w:rPr>
      </w:pPr>
      <w:bookmarkStart w:id="1" w:name="_Hlk70950831"/>
      <w:r w:rsidRPr="00604D5D">
        <w:rPr>
          <w:szCs w:val="24"/>
        </w:rPr>
        <w:t>CLASS COUNSEL’S REQUESTED FEES ARE FAIR AND REASONABLE</w:t>
      </w:r>
      <w:r w:rsidRPr="00604D5D">
        <w:rPr>
          <w:szCs w:val="24"/>
        </w:rPr>
        <w:br/>
        <w:t>AND SHOULD BE APPROVED</w:t>
      </w:r>
      <w:bookmarkEnd w:id="1"/>
      <w:r w:rsidRPr="00604D5D">
        <w:rPr>
          <w:szCs w:val="24"/>
        </w:rPr>
        <w:t xml:space="preserve"> </w:t>
      </w:r>
      <w:r w:rsidRPr="00604D5D">
        <w:rPr>
          <w:szCs w:val="24"/>
        </w:rPr>
        <w:tab/>
        <w:t xml:space="preserve"> 3</w:t>
      </w:r>
    </w:p>
    <w:p w14:paraId="6106C517" w14:textId="77777777" w:rsidR="00B3057D" w:rsidRPr="00604D5D" w:rsidRDefault="00B3057D" w:rsidP="00B3057D">
      <w:pPr>
        <w:pStyle w:val="ListParagraph"/>
        <w:numPr>
          <w:ilvl w:val="0"/>
          <w:numId w:val="2"/>
        </w:numPr>
        <w:tabs>
          <w:tab w:val="right" w:leader="dot" w:pos="9346"/>
        </w:tabs>
        <w:spacing w:after="240"/>
        <w:ind w:left="1440" w:hanging="720"/>
        <w:contextualSpacing w:val="0"/>
        <w:rPr>
          <w:szCs w:val="24"/>
        </w:rPr>
      </w:pPr>
      <w:r w:rsidRPr="00604D5D">
        <w:rPr>
          <w:szCs w:val="24"/>
        </w:rPr>
        <w:t xml:space="preserve">Plaintiff Is The Prevailing Party </w:t>
      </w:r>
      <w:r w:rsidRPr="00604D5D">
        <w:rPr>
          <w:szCs w:val="24"/>
        </w:rPr>
        <w:tab/>
        <w:t xml:space="preserve"> 3</w:t>
      </w:r>
    </w:p>
    <w:p w14:paraId="5BC3F46C" w14:textId="77777777" w:rsidR="00B3057D" w:rsidRPr="00604D5D" w:rsidRDefault="00B3057D" w:rsidP="00B3057D">
      <w:pPr>
        <w:pStyle w:val="ListParagraph"/>
        <w:numPr>
          <w:ilvl w:val="0"/>
          <w:numId w:val="2"/>
        </w:numPr>
        <w:tabs>
          <w:tab w:val="right" w:leader="dot" w:pos="9346"/>
        </w:tabs>
        <w:spacing w:after="240"/>
        <w:ind w:left="1440" w:hanging="720"/>
        <w:contextualSpacing w:val="0"/>
        <w:rPr>
          <w:szCs w:val="24"/>
        </w:rPr>
      </w:pPr>
      <w:r w:rsidRPr="00604D5D">
        <w:rPr>
          <w:szCs w:val="24"/>
        </w:rPr>
        <w:t xml:space="preserve">Plaintiff’s Lodestar Is Reasonable </w:t>
      </w:r>
      <w:r w:rsidRPr="00604D5D">
        <w:rPr>
          <w:szCs w:val="24"/>
        </w:rPr>
        <w:tab/>
        <w:t xml:space="preserve"> 4</w:t>
      </w:r>
    </w:p>
    <w:p w14:paraId="0784B0C0" w14:textId="77777777" w:rsidR="00B3057D" w:rsidRPr="00604D5D" w:rsidRDefault="00B3057D" w:rsidP="00B3057D">
      <w:pPr>
        <w:pStyle w:val="ListParagraph"/>
        <w:numPr>
          <w:ilvl w:val="0"/>
          <w:numId w:val="3"/>
        </w:numPr>
        <w:tabs>
          <w:tab w:val="right" w:leader="dot" w:pos="9360"/>
        </w:tabs>
        <w:spacing w:after="240"/>
        <w:ind w:left="2160" w:hanging="720"/>
        <w:contextualSpacing w:val="0"/>
        <w:rPr>
          <w:szCs w:val="24"/>
        </w:rPr>
      </w:pPr>
      <w:r w:rsidRPr="00604D5D">
        <w:rPr>
          <w:szCs w:val="24"/>
        </w:rPr>
        <w:t>Class Counsel spent a reasonable number of hours prosecuting</w:t>
      </w:r>
      <w:r w:rsidRPr="00604D5D">
        <w:rPr>
          <w:szCs w:val="24"/>
        </w:rPr>
        <w:br/>
        <w:t xml:space="preserve">Plaintiff’s claim </w:t>
      </w:r>
      <w:r w:rsidRPr="00604D5D">
        <w:rPr>
          <w:szCs w:val="24"/>
        </w:rPr>
        <w:tab/>
        <w:t xml:space="preserve"> 5</w:t>
      </w:r>
    </w:p>
    <w:p w14:paraId="087D5D3E" w14:textId="77777777" w:rsidR="00B3057D" w:rsidRPr="00604D5D" w:rsidRDefault="00B3057D" w:rsidP="00B3057D">
      <w:pPr>
        <w:pStyle w:val="ListParagraph"/>
        <w:numPr>
          <w:ilvl w:val="0"/>
          <w:numId w:val="3"/>
        </w:numPr>
        <w:tabs>
          <w:tab w:val="right" w:leader="dot" w:pos="9360"/>
        </w:tabs>
        <w:spacing w:after="240"/>
        <w:ind w:left="2160" w:hanging="720"/>
        <w:contextualSpacing w:val="0"/>
        <w:rPr>
          <w:szCs w:val="24"/>
        </w:rPr>
      </w:pPr>
      <w:r w:rsidRPr="00604D5D">
        <w:rPr>
          <w:szCs w:val="24"/>
        </w:rPr>
        <w:t xml:space="preserve">Class Counsel’s hourly rates are reasonable </w:t>
      </w:r>
      <w:r w:rsidRPr="00604D5D">
        <w:rPr>
          <w:szCs w:val="24"/>
        </w:rPr>
        <w:tab/>
        <w:t xml:space="preserve"> 6</w:t>
      </w:r>
    </w:p>
    <w:p w14:paraId="4C6EBC6F" w14:textId="77777777" w:rsidR="00B3057D" w:rsidRPr="00604D5D" w:rsidRDefault="00B3057D" w:rsidP="00B3057D">
      <w:pPr>
        <w:pStyle w:val="ListParagraph"/>
        <w:numPr>
          <w:ilvl w:val="0"/>
          <w:numId w:val="2"/>
        </w:numPr>
        <w:tabs>
          <w:tab w:val="right" w:leader="dot" w:pos="9346"/>
        </w:tabs>
        <w:spacing w:after="240"/>
        <w:ind w:left="1440" w:hanging="720"/>
        <w:contextualSpacing w:val="0"/>
        <w:rPr>
          <w:szCs w:val="24"/>
        </w:rPr>
      </w:pPr>
      <w:r w:rsidRPr="00604D5D">
        <w:rPr>
          <w:szCs w:val="24"/>
        </w:rPr>
        <w:t xml:space="preserve">Plaintiff Is Entitled To Reasonable Fees And Costs For Future Work </w:t>
      </w:r>
      <w:r w:rsidRPr="00604D5D">
        <w:rPr>
          <w:szCs w:val="24"/>
        </w:rPr>
        <w:tab/>
        <w:t xml:space="preserve"> 7</w:t>
      </w:r>
    </w:p>
    <w:p w14:paraId="4F3FCEE8" w14:textId="77777777" w:rsidR="00B3057D" w:rsidRPr="00604D5D" w:rsidRDefault="00B3057D" w:rsidP="00B3057D">
      <w:pPr>
        <w:pStyle w:val="ListParagraph"/>
        <w:numPr>
          <w:ilvl w:val="0"/>
          <w:numId w:val="2"/>
        </w:numPr>
        <w:tabs>
          <w:tab w:val="right" w:leader="dot" w:pos="9360"/>
        </w:tabs>
        <w:spacing w:after="240"/>
        <w:ind w:left="1440" w:hanging="720"/>
        <w:contextualSpacing w:val="0"/>
        <w:rPr>
          <w:szCs w:val="24"/>
        </w:rPr>
      </w:pPr>
      <w:r w:rsidRPr="00604D5D">
        <w:rPr>
          <w:szCs w:val="24"/>
        </w:rPr>
        <w:t xml:space="preserve">The </w:t>
      </w:r>
      <w:r w:rsidRPr="00604D5D">
        <w:rPr>
          <w:i/>
          <w:iCs/>
          <w:szCs w:val="24"/>
        </w:rPr>
        <w:t>Johnson</w:t>
      </w:r>
      <w:r w:rsidRPr="00604D5D">
        <w:rPr>
          <w:szCs w:val="24"/>
        </w:rPr>
        <w:t xml:space="preserve"> Factors Support Plaintiff’s Request For Fees </w:t>
      </w:r>
      <w:r w:rsidRPr="00604D5D">
        <w:rPr>
          <w:szCs w:val="24"/>
        </w:rPr>
        <w:tab/>
        <w:t xml:space="preserve"> 9</w:t>
      </w:r>
    </w:p>
    <w:p w14:paraId="5DF1794A"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time and labor required </w:t>
      </w:r>
      <w:r w:rsidRPr="00604D5D">
        <w:rPr>
          <w:szCs w:val="24"/>
        </w:rPr>
        <w:tab/>
        <w:t xml:space="preserve"> 10</w:t>
      </w:r>
    </w:p>
    <w:p w14:paraId="13C6F203"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novelty and difficulty of the questions </w:t>
      </w:r>
      <w:r w:rsidRPr="00604D5D">
        <w:rPr>
          <w:szCs w:val="24"/>
        </w:rPr>
        <w:tab/>
        <w:t xml:space="preserve"> 10</w:t>
      </w:r>
    </w:p>
    <w:p w14:paraId="523F26AB"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skill required to perform the legal service properly </w:t>
      </w:r>
      <w:r w:rsidRPr="00604D5D">
        <w:rPr>
          <w:szCs w:val="24"/>
        </w:rPr>
        <w:tab/>
        <w:t xml:space="preserve"> 11</w:t>
      </w:r>
    </w:p>
    <w:p w14:paraId="5BBB5632"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preclusion of alternative employment </w:t>
      </w:r>
      <w:r w:rsidRPr="00604D5D">
        <w:rPr>
          <w:szCs w:val="24"/>
        </w:rPr>
        <w:tab/>
        <w:t xml:space="preserve"> 12</w:t>
      </w:r>
    </w:p>
    <w:p w14:paraId="3CE6A178"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The customary fee for similar work and whether the fee is</w:t>
      </w:r>
      <w:r w:rsidRPr="00604D5D">
        <w:rPr>
          <w:szCs w:val="24"/>
        </w:rPr>
        <w:br/>
        <w:t xml:space="preserve">fixed or contingent </w:t>
      </w:r>
      <w:r w:rsidRPr="00604D5D">
        <w:rPr>
          <w:szCs w:val="24"/>
        </w:rPr>
        <w:tab/>
        <w:t xml:space="preserve"> 12</w:t>
      </w:r>
    </w:p>
    <w:p w14:paraId="76CD423F"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Time limitations posed by the client or circumstances </w:t>
      </w:r>
      <w:r w:rsidRPr="00604D5D">
        <w:rPr>
          <w:szCs w:val="24"/>
        </w:rPr>
        <w:tab/>
        <w:t xml:space="preserve"> 12</w:t>
      </w:r>
    </w:p>
    <w:p w14:paraId="3B7359EE"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amount involved and the results obtained </w:t>
      </w:r>
      <w:r w:rsidRPr="00604D5D">
        <w:rPr>
          <w:szCs w:val="24"/>
        </w:rPr>
        <w:tab/>
        <w:t xml:space="preserve"> 13</w:t>
      </w:r>
    </w:p>
    <w:p w14:paraId="534DE0CB"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experience, reputation, and ability of the attorneys </w:t>
      </w:r>
      <w:r w:rsidRPr="00604D5D">
        <w:rPr>
          <w:szCs w:val="24"/>
        </w:rPr>
        <w:tab/>
        <w:t xml:space="preserve"> 13</w:t>
      </w:r>
    </w:p>
    <w:p w14:paraId="6DB5A3B6"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“undesirability” of the case </w:t>
      </w:r>
      <w:r w:rsidRPr="00604D5D">
        <w:rPr>
          <w:szCs w:val="24"/>
        </w:rPr>
        <w:tab/>
        <w:t xml:space="preserve"> 13</w:t>
      </w:r>
    </w:p>
    <w:p w14:paraId="6C566065"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The nature and length of the attorney-client relationship </w:t>
      </w:r>
      <w:r w:rsidRPr="00604D5D">
        <w:rPr>
          <w:szCs w:val="24"/>
        </w:rPr>
        <w:tab/>
        <w:t xml:space="preserve"> 14</w:t>
      </w:r>
    </w:p>
    <w:p w14:paraId="48BCF675" w14:textId="77777777" w:rsidR="00B3057D" w:rsidRPr="00604D5D" w:rsidRDefault="00B3057D" w:rsidP="00B3057D">
      <w:pPr>
        <w:pStyle w:val="ListParagraph"/>
        <w:numPr>
          <w:ilvl w:val="0"/>
          <w:numId w:val="15"/>
        </w:numPr>
        <w:tabs>
          <w:tab w:val="right" w:leader="dot" w:pos="9360"/>
        </w:tabs>
        <w:spacing w:after="240"/>
        <w:ind w:left="2160" w:hanging="720"/>
        <w:contextualSpacing w:val="0"/>
        <w:rPr>
          <w:szCs w:val="24"/>
        </w:rPr>
      </w:pPr>
      <w:r w:rsidRPr="00604D5D">
        <w:rPr>
          <w:szCs w:val="24"/>
        </w:rPr>
        <w:t xml:space="preserve">Fee awards in similar cases </w:t>
      </w:r>
      <w:r w:rsidRPr="00604D5D">
        <w:rPr>
          <w:szCs w:val="24"/>
        </w:rPr>
        <w:tab/>
        <w:t xml:space="preserve"> 15</w:t>
      </w:r>
    </w:p>
    <w:p w14:paraId="1447B269" w14:textId="77777777" w:rsidR="00B3057D" w:rsidRPr="00604D5D" w:rsidRDefault="00B3057D" w:rsidP="00B3057D">
      <w:pPr>
        <w:pStyle w:val="ListParagraph"/>
        <w:numPr>
          <w:ilvl w:val="0"/>
          <w:numId w:val="1"/>
        </w:numPr>
        <w:tabs>
          <w:tab w:val="right" w:leader="dot" w:pos="9360"/>
        </w:tabs>
        <w:spacing w:after="240"/>
        <w:ind w:left="720"/>
        <w:contextualSpacing w:val="0"/>
        <w:rPr>
          <w:szCs w:val="24"/>
        </w:rPr>
      </w:pPr>
      <w:r w:rsidRPr="00604D5D">
        <w:rPr>
          <w:szCs w:val="24"/>
        </w:rPr>
        <w:t>THE INCENTIVE AWARD IS REASONABLE AND SHOULD BE</w:t>
      </w:r>
      <w:r w:rsidRPr="00604D5D">
        <w:rPr>
          <w:szCs w:val="24"/>
        </w:rPr>
        <w:br/>
        <w:t xml:space="preserve">APPROVED </w:t>
      </w:r>
      <w:r w:rsidRPr="00604D5D">
        <w:rPr>
          <w:szCs w:val="24"/>
        </w:rPr>
        <w:tab/>
        <w:t xml:space="preserve"> 16</w:t>
      </w:r>
    </w:p>
    <w:p w14:paraId="01624C72" w14:textId="6D6FC820" w:rsidR="00B3057D" w:rsidRPr="00B3057D" w:rsidRDefault="00B3057D" w:rsidP="00B3057D">
      <w:pPr>
        <w:pStyle w:val="ListParagraph"/>
        <w:numPr>
          <w:ilvl w:val="0"/>
          <w:numId w:val="1"/>
        </w:numPr>
        <w:tabs>
          <w:tab w:val="right" w:leader="dot" w:pos="9346"/>
        </w:tabs>
        <w:spacing w:after="240"/>
        <w:ind w:left="720"/>
        <w:contextualSpacing w:val="0"/>
        <w:rPr>
          <w:szCs w:val="24"/>
        </w:rPr>
      </w:pPr>
      <w:r w:rsidRPr="00604D5D">
        <w:rPr>
          <w:szCs w:val="24"/>
        </w:rPr>
        <w:t xml:space="preserve">CONCLUSION </w:t>
      </w:r>
      <w:r w:rsidRPr="00604D5D">
        <w:rPr>
          <w:szCs w:val="24"/>
        </w:rPr>
        <w:tab/>
        <w:t xml:space="preserve"> 17</w:t>
      </w:r>
      <w:r w:rsidRPr="00B3057D">
        <w:rPr>
          <w:szCs w:val="24"/>
        </w:rPr>
        <w:br w:type="page"/>
      </w:r>
    </w:p>
    <w:p w14:paraId="18F8DBC3" w14:textId="77777777" w:rsidR="0023070A" w:rsidRPr="007E7E0E" w:rsidRDefault="0023070A" w:rsidP="0023070A">
      <w:pPr>
        <w:tabs>
          <w:tab w:val="right" w:leader="dot" w:pos="9346"/>
        </w:tabs>
        <w:jc w:val="center"/>
        <w:rPr>
          <w:b/>
          <w:szCs w:val="24"/>
          <w:u w:val="single"/>
        </w:rPr>
      </w:pPr>
      <w:r w:rsidRPr="007E7E0E">
        <w:rPr>
          <w:b/>
          <w:szCs w:val="24"/>
          <w:u w:val="single"/>
        </w:rPr>
        <w:lastRenderedPageBreak/>
        <w:t>TABLE OF AUTHORITIES</w:t>
      </w:r>
    </w:p>
    <w:p w14:paraId="1E1380DD" w14:textId="77777777" w:rsidR="0023070A" w:rsidRPr="007E7E0E" w:rsidRDefault="0023070A" w:rsidP="0023070A">
      <w:pPr>
        <w:tabs>
          <w:tab w:val="right" w:leader="dot" w:pos="9346"/>
        </w:tabs>
        <w:rPr>
          <w:b/>
          <w:szCs w:val="24"/>
        </w:rPr>
      </w:pPr>
    </w:p>
    <w:p w14:paraId="6D435A86" w14:textId="77777777" w:rsidR="0023070A" w:rsidRPr="007E7E0E" w:rsidRDefault="0023070A" w:rsidP="0023070A">
      <w:pPr>
        <w:pStyle w:val="TOAHeading"/>
        <w:tabs>
          <w:tab w:val="right" w:leader="dot" w:pos="9346"/>
        </w:tabs>
        <w:spacing w:before="0"/>
        <w:rPr>
          <w:rFonts w:ascii="Times New Roman" w:hAnsi="Times New Roman" w:cs="Times New Roman"/>
          <w:bCs w:val="0"/>
        </w:rPr>
      </w:pPr>
      <w:r w:rsidRPr="007E7E0E">
        <w:rPr>
          <w:rFonts w:ascii="Times New Roman" w:hAnsi="Times New Roman" w:cs="Times New Roman"/>
          <w:bCs w:val="0"/>
        </w:rPr>
        <w:t>Cases</w:t>
      </w:r>
    </w:p>
    <w:p w14:paraId="4BF4C861" w14:textId="77777777" w:rsidR="0023070A" w:rsidRPr="007E7E0E" w:rsidRDefault="0023070A" w:rsidP="0023070A">
      <w:pPr>
        <w:tabs>
          <w:tab w:val="right" w:leader="dot" w:pos="9346"/>
        </w:tabs>
      </w:pPr>
    </w:p>
    <w:p w14:paraId="08B81B44" w14:textId="77777777" w:rsidR="0023070A" w:rsidRPr="007E7E0E" w:rsidRDefault="0023070A" w:rsidP="0023070A">
      <w:pPr>
        <w:tabs>
          <w:tab w:val="right" w:leader="dot" w:pos="9346"/>
        </w:tabs>
      </w:pPr>
      <w:r w:rsidRPr="007E7E0E">
        <w:rPr>
          <w:i/>
          <w:iCs/>
        </w:rPr>
        <w:t>Access Now, Inc. v. Blue Apron, LLC</w:t>
      </w:r>
      <w:r w:rsidRPr="007E7E0E">
        <w:t xml:space="preserve">, No. 17-cv-00116, </w:t>
      </w:r>
    </w:p>
    <w:p w14:paraId="19FAB401" w14:textId="77777777" w:rsidR="0023070A" w:rsidRPr="007E7E0E" w:rsidRDefault="0023070A" w:rsidP="0023070A">
      <w:pPr>
        <w:tabs>
          <w:tab w:val="right" w:leader="dot" w:pos="9346"/>
        </w:tabs>
        <w:ind w:left="360"/>
      </w:pPr>
      <w:r w:rsidRPr="007E7E0E">
        <w:t xml:space="preserve">2017 U.S. Dist. LEXIS 185112 (D.N.H. Nov. 8, 2017) </w:t>
      </w:r>
      <w:r w:rsidRPr="007E7E0E">
        <w:tab/>
        <w:t xml:space="preserve"> 11</w:t>
      </w:r>
    </w:p>
    <w:p w14:paraId="41D85BF6" w14:textId="77777777" w:rsidR="0023070A" w:rsidRPr="007E7E0E" w:rsidRDefault="0023070A" w:rsidP="0023070A">
      <w:pPr>
        <w:tabs>
          <w:tab w:val="right" w:leader="dot" w:pos="9346"/>
        </w:tabs>
        <w:rPr>
          <w:i/>
          <w:iCs/>
        </w:rPr>
      </w:pPr>
    </w:p>
    <w:p w14:paraId="244CBECA" w14:textId="77777777" w:rsidR="0023070A" w:rsidRPr="007E7E0E" w:rsidRDefault="0023070A" w:rsidP="0023070A">
      <w:pPr>
        <w:tabs>
          <w:tab w:val="right" w:leader="dot" w:pos="9346"/>
        </w:tabs>
      </w:pPr>
      <w:r w:rsidRPr="007E7E0E">
        <w:rPr>
          <w:i/>
          <w:iCs/>
        </w:rPr>
        <w:t>Access Now, Inc. v. Otter Prods., LLC</w:t>
      </w:r>
      <w:r w:rsidRPr="007E7E0E">
        <w:t xml:space="preserve">, </w:t>
      </w:r>
    </w:p>
    <w:p w14:paraId="2F401DBB" w14:textId="77777777" w:rsidR="0023070A" w:rsidRPr="007E7E0E" w:rsidRDefault="0023070A" w:rsidP="0023070A">
      <w:pPr>
        <w:tabs>
          <w:tab w:val="right" w:leader="dot" w:pos="9346"/>
        </w:tabs>
        <w:ind w:left="360"/>
      </w:pPr>
      <w:r w:rsidRPr="007E7E0E">
        <w:t xml:space="preserve">280 F. Supp. 3d 287 (D. Mass. 2017) </w:t>
      </w:r>
      <w:r w:rsidRPr="007E7E0E">
        <w:tab/>
        <w:t xml:space="preserve"> 11</w:t>
      </w:r>
    </w:p>
    <w:p w14:paraId="49C15A50" w14:textId="77777777" w:rsidR="0023070A" w:rsidRPr="007E7E0E" w:rsidRDefault="0023070A" w:rsidP="0023070A">
      <w:pPr>
        <w:tabs>
          <w:tab w:val="right" w:leader="dot" w:pos="9346"/>
        </w:tabs>
        <w:rPr>
          <w:i/>
          <w:iCs/>
        </w:rPr>
      </w:pPr>
    </w:p>
    <w:p w14:paraId="19B27E90" w14:textId="77777777" w:rsidR="0023070A" w:rsidRPr="007E7E0E" w:rsidRDefault="0023070A" w:rsidP="0023070A">
      <w:pPr>
        <w:tabs>
          <w:tab w:val="right" w:leader="dot" w:pos="9346"/>
        </w:tabs>
      </w:pPr>
      <w:r w:rsidRPr="007E7E0E">
        <w:rPr>
          <w:i/>
          <w:iCs/>
        </w:rPr>
        <w:t>Arc of Del. v. Meconi</w:t>
      </w:r>
      <w:r w:rsidRPr="007E7E0E">
        <w:t xml:space="preserve">, No. 02-cv-00255, </w:t>
      </w:r>
    </w:p>
    <w:p w14:paraId="6FAE296F" w14:textId="77777777" w:rsidR="0023070A" w:rsidRPr="007E7E0E" w:rsidRDefault="0023070A" w:rsidP="0023070A">
      <w:pPr>
        <w:tabs>
          <w:tab w:val="right" w:leader="dot" w:pos="9346"/>
        </w:tabs>
        <w:ind w:left="360"/>
      </w:pPr>
      <w:r w:rsidRPr="007E7E0E">
        <w:t xml:space="preserve">2005 U.S. Dist. LEXIS 39039 (D. Del. June 13, 2005) </w:t>
      </w:r>
      <w:r w:rsidRPr="007E7E0E">
        <w:tab/>
        <w:t xml:space="preserve"> 3</w:t>
      </w:r>
    </w:p>
    <w:p w14:paraId="07788056" w14:textId="77777777" w:rsidR="0023070A" w:rsidRPr="007E7E0E" w:rsidRDefault="0023070A" w:rsidP="0023070A">
      <w:pPr>
        <w:tabs>
          <w:tab w:val="right" w:leader="dot" w:pos="9346"/>
        </w:tabs>
        <w:rPr>
          <w:i/>
          <w:iCs/>
        </w:rPr>
      </w:pPr>
    </w:p>
    <w:p w14:paraId="34E02435" w14:textId="77777777" w:rsidR="0023070A" w:rsidRPr="007E7E0E" w:rsidRDefault="0023070A" w:rsidP="0023070A">
      <w:pPr>
        <w:tabs>
          <w:tab w:val="right" w:leader="dot" w:pos="9346"/>
        </w:tabs>
        <w:rPr>
          <w:i/>
          <w:iCs/>
        </w:rPr>
      </w:pPr>
      <w:r w:rsidRPr="007E7E0E">
        <w:rPr>
          <w:i/>
          <w:iCs/>
        </w:rPr>
        <w:t>Butela v. Midland Credit Mgmt. Inc.</w:t>
      </w:r>
      <w:r w:rsidRPr="007E7E0E">
        <w:t>,</w:t>
      </w:r>
      <w:r w:rsidRPr="007E7E0E">
        <w:rPr>
          <w:i/>
          <w:iCs/>
        </w:rPr>
        <w:t xml:space="preserve"> </w:t>
      </w:r>
    </w:p>
    <w:p w14:paraId="15D9CB3D" w14:textId="77777777" w:rsidR="0023070A" w:rsidRPr="007E7E0E" w:rsidRDefault="0023070A" w:rsidP="0023070A">
      <w:pPr>
        <w:tabs>
          <w:tab w:val="right" w:leader="dot" w:pos="9346"/>
        </w:tabs>
        <w:ind w:left="360"/>
      </w:pPr>
      <w:r w:rsidRPr="007E7E0E">
        <w:t xml:space="preserve">341 F.R.D. 581 (W.D. Pa. 2022) </w:t>
      </w:r>
      <w:r w:rsidRPr="007E7E0E">
        <w:tab/>
        <w:t xml:space="preserve"> 7</w:t>
      </w:r>
    </w:p>
    <w:p w14:paraId="5F56AFA9" w14:textId="77777777" w:rsidR="0023070A" w:rsidRPr="007E7E0E" w:rsidRDefault="0023070A" w:rsidP="0023070A">
      <w:pPr>
        <w:tabs>
          <w:tab w:val="right" w:leader="dot" w:pos="9346"/>
        </w:tabs>
        <w:rPr>
          <w:i/>
          <w:iCs/>
        </w:rPr>
      </w:pPr>
    </w:p>
    <w:p w14:paraId="1B9DD1B2" w14:textId="77777777" w:rsidR="0023070A" w:rsidRPr="007E7E0E" w:rsidRDefault="0023070A" w:rsidP="0023070A">
      <w:pPr>
        <w:tabs>
          <w:tab w:val="right" w:leader="dot" w:pos="9346"/>
        </w:tabs>
      </w:pPr>
      <w:r w:rsidRPr="007E7E0E">
        <w:rPr>
          <w:i/>
          <w:iCs/>
        </w:rPr>
        <w:t>Gniewkowski v. Lettuce Entertain You Enters., Inc</w:t>
      </w:r>
      <w:r w:rsidRPr="007E7E0E">
        <w:t xml:space="preserve">., </w:t>
      </w:r>
    </w:p>
    <w:p w14:paraId="10825157" w14:textId="77777777" w:rsidR="0023070A" w:rsidRPr="007E7E0E" w:rsidRDefault="0023070A" w:rsidP="0023070A">
      <w:pPr>
        <w:tabs>
          <w:tab w:val="right" w:leader="dot" w:pos="9346"/>
        </w:tabs>
        <w:ind w:left="360"/>
      </w:pPr>
      <w:r w:rsidRPr="007E7E0E">
        <w:t xml:space="preserve">251 F. Supp. 3d 908 (W.D. Pa. 2017) </w:t>
      </w:r>
      <w:r w:rsidRPr="007E7E0E">
        <w:tab/>
        <w:t xml:space="preserve"> 11</w:t>
      </w:r>
    </w:p>
    <w:p w14:paraId="72772881" w14:textId="77777777" w:rsidR="0023070A" w:rsidRPr="007E7E0E" w:rsidRDefault="0023070A" w:rsidP="0023070A">
      <w:pPr>
        <w:tabs>
          <w:tab w:val="right" w:leader="dot" w:pos="9346"/>
        </w:tabs>
        <w:rPr>
          <w:i/>
          <w:iCs/>
        </w:rPr>
      </w:pPr>
    </w:p>
    <w:p w14:paraId="6059DC04" w14:textId="77777777" w:rsidR="0023070A" w:rsidRPr="007E7E0E" w:rsidRDefault="0023070A" w:rsidP="0023070A">
      <w:pPr>
        <w:tabs>
          <w:tab w:val="right" w:leader="dot" w:pos="9346"/>
        </w:tabs>
      </w:pPr>
      <w:r w:rsidRPr="007E7E0E">
        <w:rPr>
          <w:i/>
          <w:iCs/>
        </w:rPr>
        <w:t>Gunter v. Ridgewood Energy Corp</w:t>
      </w:r>
      <w:r w:rsidRPr="007E7E0E">
        <w:t xml:space="preserve">., </w:t>
      </w:r>
    </w:p>
    <w:p w14:paraId="725A68BB" w14:textId="77777777" w:rsidR="0023070A" w:rsidRPr="007E7E0E" w:rsidRDefault="0023070A" w:rsidP="0023070A">
      <w:pPr>
        <w:tabs>
          <w:tab w:val="right" w:leader="dot" w:pos="9346"/>
        </w:tabs>
        <w:ind w:left="360"/>
      </w:pPr>
      <w:r w:rsidRPr="007E7E0E">
        <w:t xml:space="preserve">223 F.3d 190 (3d Cir. 2000) </w:t>
      </w:r>
      <w:r w:rsidRPr="007E7E0E">
        <w:tab/>
        <w:t xml:space="preserve"> 4</w:t>
      </w:r>
    </w:p>
    <w:p w14:paraId="1170C1A0" w14:textId="77777777" w:rsidR="0023070A" w:rsidRPr="007E7E0E" w:rsidRDefault="0023070A" w:rsidP="0023070A">
      <w:pPr>
        <w:tabs>
          <w:tab w:val="right" w:leader="dot" w:pos="9346"/>
        </w:tabs>
        <w:rPr>
          <w:i/>
          <w:iCs/>
        </w:rPr>
      </w:pPr>
    </w:p>
    <w:p w14:paraId="2DC0DBFC" w14:textId="77777777" w:rsidR="0023070A" w:rsidRPr="007E7E0E" w:rsidRDefault="0023070A" w:rsidP="0023070A">
      <w:pPr>
        <w:tabs>
          <w:tab w:val="right" w:leader="dot" w:pos="9346"/>
        </w:tabs>
      </w:pPr>
      <w:r w:rsidRPr="007E7E0E">
        <w:rPr>
          <w:i/>
          <w:iCs/>
        </w:rPr>
        <w:t>Hensley v. Eckerhart</w:t>
      </w:r>
      <w:r w:rsidRPr="007E7E0E">
        <w:t xml:space="preserve">, </w:t>
      </w:r>
    </w:p>
    <w:p w14:paraId="5AC4299D" w14:textId="77777777" w:rsidR="0023070A" w:rsidRPr="007E7E0E" w:rsidRDefault="0023070A" w:rsidP="0023070A">
      <w:pPr>
        <w:tabs>
          <w:tab w:val="right" w:leader="dot" w:pos="9346"/>
        </w:tabs>
        <w:ind w:left="360"/>
      </w:pPr>
      <w:r w:rsidRPr="007E7E0E">
        <w:t xml:space="preserve">461 U.S. 424 (1983) </w:t>
      </w:r>
      <w:r w:rsidRPr="007E7E0E">
        <w:tab/>
        <w:t xml:space="preserve"> 3, 4, 14</w:t>
      </w:r>
    </w:p>
    <w:p w14:paraId="327D486C" w14:textId="77777777" w:rsidR="0023070A" w:rsidRPr="007E7E0E" w:rsidRDefault="0023070A" w:rsidP="0023070A">
      <w:pPr>
        <w:tabs>
          <w:tab w:val="right" w:leader="dot" w:pos="9346"/>
        </w:tabs>
        <w:rPr>
          <w:i/>
          <w:iCs/>
        </w:rPr>
      </w:pPr>
    </w:p>
    <w:p w14:paraId="0B502FA7" w14:textId="77777777" w:rsidR="0023070A" w:rsidRPr="007E7E0E" w:rsidRDefault="0023070A" w:rsidP="0023070A">
      <w:pPr>
        <w:tabs>
          <w:tab w:val="right" w:leader="dot" w:pos="9346"/>
        </w:tabs>
      </w:pPr>
      <w:r w:rsidRPr="007E7E0E">
        <w:rPr>
          <w:i/>
          <w:iCs/>
        </w:rPr>
        <w:t>Howard v. LVNV Funding, LLC</w:t>
      </w:r>
      <w:r w:rsidRPr="007E7E0E">
        <w:t xml:space="preserve">, No. 3:19-cv-00093, </w:t>
      </w:r>
    </w:p>
    <w:p w14:paraId="1E40DA09" w14:textId="77777777" w:rsidR="0023070A" w:rsidRPr="007E7E0E" w:rsidRDefault="0023070A" w:rsidP="0023070A">
      <w:pPr>
        <w:tabs>
          <w:tab w:val="right" w:leader="dot" w:pos="9346"/>
        </w:tabs>
        <w:ind w:left="360"/>
      </w:pPr>
      <w:r w:rsidRPr="007E7E0E">
        <w:t xml:space="preserve">2023 U.S. Dist. LEXIS 52294 (W.D. Pa. Mar. 22, 2023) </w:t>
      </w:r>
      <w:r w:rsidRPr="007E7E0E">
        <w:tab/>
        <w:t xml:space="preserve"> 7</w:t>
      </w:r>
    </w:p>
    <w:p w14:paraId="38F93FDF" w14:textId="77777777" w:rsidR="0023070A" w:rsidRPr="007E7E0E" w:rsidRDefault="0023070A" w:rsidP="0023070A">
      <w:pPr>
        <w:tabs>
          <w:tab w:val="right" w:leader="dot" w:pos="9346"/>
        </w:tabs>
        <w:rPr>
          <w:i/>
          <w:iCs/>
        </w:rPr>
      </w:pPr>
    </w:p>
    <w:p w14:paraId="4D14151E" w14:textId="77777777" w:rsidR="0023070A" w:rsidRPr="007E7E0E" w:rsidRDefault="0023070A" w:rsidP="0023070A">
      <w:pPr>
        <w:tabs>
          <w:tab w:val="right" w:leader="dot" w:pos="9346"/>
        </w:tabs>
      </w:pPr>
      <w:r w:rsidRPr="007E7E0E">
        <w:rPr>
          <w:i/>
          <w:iCs/>
        </w:rPr>
        <w:t>Johnson v. Ga. Highway Express, Inc.</w:t>
      </w:r>
      <w:r w:rsidRPr="007E7E0E">
        <w:t xml:space="preserve">, </w:t>
      </w:r>
    </w:p>
    <w:p w14:paraId="167B0834" w14:textId="77777777" w:rsidR="0023070A" w:rsidRPr="007E7E0E" w:rsidRDefault="0023070A" w:rsidP="0023070A">
      <w:pPr>
        <w:tabs>
          <w:tab w:val="right" w:leader="dot" w:pos="9346"/>
        </w:tabs>
        <w:ind w:left="360"/>
      </w:pPr>
      <w:r w:rsidRPr="007E7E0E">
        <w:t xml:space="preserve">488 F.2d 714 (5th Cir. 1974) </w:t>
      </w:r>
      <w:r w:rsidRPr="007E7E0E">
        <w:tab/>
        <w:t xml:space="preserve"> 10</w:t>
      </w:r>
    </w:p>
    <w:p w14:paraId="08F66060" w14:textId="77777777" w:rsidR="0023070A" w:rsidRPr="007E7E0E" w:rsidRDefault="0023070A" w:rsidP="0023070A">
      <w:pPr>
        <w:tabs>
          <w:tab w:val="right" w:leader="dot" w:pos="9346"/>
        </w:tabs>
        <w:rPr>
          <w:i/>
          <w:iCs/>
        </w:rPr>
      </w:pPr>
    </w:p>
    <w:p w14:paraId="6EDC002A" w14:textId="77777777" w:rsidR="0023070A" w:rsidRPr="007E7E0E" w:rsidRDefault="0023070A" w:rsidP="0023070A">
      <w:pPr>
        <w:tabs>
          <w:tab w:val="right" w:leader="dot" w:pos="9346"/>
        </w:tabs>
      </w:pPr>
      <w:r w:rsidRPr="007E7E0E">
        <w:rPr>
          <w:i/>
          <w:iCs/>
        </w:rPr>
        <w:t>Maldonado v. Houstoun</w:t>
      </w:r>
      <w:r w:rsidRPr="007E7E0E">
        <w:t xml:space="preserve">, </w:t>
      </w:r>
    </w:p>
    <w:p w14:paraId="08FF3B6E" w14:textId="77777777" w:rsidR="0023070A" w:rsidRPr="007E7E0E" w:rsidRDefault="0023070A" w:rsidP="0023070A">
      <w:pPr>
        <w:tabs>
          <w:tab w:val="right" w:leader="dot" w:pos="9346"/>
        </w:tabs>
        <w:ind w:left="360"/>
      </w:pPr>
      <w:r w:rsidRPr="007E7E0E">
        <w:t xml:space="preserve">256 F.3d 181 (3d Cir. 2001) </w:t>
      </w:r>
      <w:r w:rsidRPr="007E7E0E">
        <w:tab/>
        <w:t xml:space="preserve"> 4, 6</w:t>
      </w:r>
    </w:p>
    <w:p w14:paraId="42979B4A" w14:textId="77777777" w:rsidR="0023070A" w:rsidRPr="007E7E0E" w:rsidRDefault="0023070A" w:rsidP="0023070A">
      <w:pPr>
        <w:tabs>
          <w:tab w:val="right" w:leader="dot" w:pos="9346"/>
        </w:tabs>
        <w:rPr>
          <w:i/>
          <w:iCs/>
        </w:rPr>
      </w:pPr>
    </w:p>
    <w:p w14:paraId="4D2D45CA" w14:textId="77777777" w:rsidR="0023070A" w:rsidRPr="007E7E0E" w:rsidRDefault="0023070A" w:rsidP="0023070A">
      <w:pPr>
        <w:tabs>
          <w:tab w:val="right" w:leader="dot" w:pos="9346"/>
        </w:tabs>
      </w:pPr>
      <w:r w:rsidRPr="007E7E0E">
        <w:rPr>
          <w:i/>
          <w:iCs/>
        </w:rPr>
        <w:t>Murphy v. Bob Cochran Motors, Inc.</w:t>
      </w:r>
      <w:r w:rsidRPr="007E7E0E">
        <w:t xml:space="preserve">, No. 1:19-cv-00239, </w:t>
      </w:r>
    </w:p>
    <w:p w14:paraId="5CDB4367" w14:textId="77777777" w:rsidR="0023070A" w:rsidRPr="007E7E0E" w:rsidRDefault="0023070A" w:rsidP="0023070A">
      <w:pPr>
        <w:tabs>
          <w:tab w:val="right" w:leader="dot" w:pos="9346"/>
        </w:tabs>
        <w:ind w:left="360"/>
      </w:pPr>
      <w:r w:rsidRPr="007E7E0E">
        <w:t>2020 U.S. Dist. LEXIS 139887 (W.D. Pa. Aug. 4, 2020)</w:t>
      </w:r>
      <w:r w:rsidRPr="007E7E0E">
        <w:fldChar w:fldCharType="begin"/>
      </w:r>
      <w:r w:rsidRPr="007E7E0E">
        <w:instrText xml:space="preserve"> TA \l "</w:instrText>
      </w:r>
      <w:r w:rsidRPr="007E7E0E">
        <w:rPr>
          <w:i/>
          <w:iCs/>
        </w:rPr>
        <w:instrText>Murphy v. Bob Cochran Motors, Inc.</w:instrText>
      </w:r>
      <w:r w:rsidRPr="007E7E0E">
        <w:rPr>
          <w:i/>
          <w:iCs/>
        </w:rPr>
        <w:br/>
      </w:r>
      <w:r w:rsidRPr="007E7E0E">
        <w:instrText xml:space="preserve">No. 1:19-cv-00239, 2020 U.S. Dist. LEXIS 139887 (W.D. Pa. Aug. 4, 2020)" \s "Murphy v. Bob Cochran Motors, Inc., No. 1:19-cv-00239, 2020 U.S. Dist. LEXIS 139887, at *20 n. 5 (W.D. Pa. Aug. 4, 2020)" \c 1 </w:instrText>
      </w:r>
      <w:r w:rsidRPr="007E7E0E">
        <w:fldChar w:fldCharType="end"/>
      </w:r>
      <w:r w:rsidRPr="007E7E0E">
        <w:t xml:space="preserve">, </w:t>
      </w:r>
    </w:p>
    <w:p w14:paraId="62B5AB45" w14:textId="77777777" w:rsidR="0023070A" w:rsidRPr="007E7E0E" w:rsidRDefault="0023070A" w:rsidP="0023070A">
      <w:pPr>
        <w:tabs>
          <w:tab w:val="right" w:leader="dot" w:pos="9346"/>
        </w:tabs>
        <w:ind w:left="360"/>
        <w:rPr>
          <w:i/>
          <w:iCs/>
        </w:rPr>
      </w:pPr>
      <w:r w:rsidRPr="007E7E0E">
        <w:rPr>
          <w:i/>
          <w:iCs/>
        </w:rPr>
        <w:t xml:space="preserve">adopted by, motion denied by, objection overruled by </w:t>
      </w:r>
    </w:p>
    <w:p w14:paraId="6E7862A3" w14:textId="77777777" w:rsidR="0023070A" w:rsidRPr="007E7E0E" w:rsidRDefault="0023070A" w:rsidP="0023070A">
      <w:pPr>
        <w:tabs>
          <w:tab w:val="right" w:leader="dot" w:pos="9346"/>
        </w:tabs>
        <w:ind w:left="360"/>
      </w:pPr>
      <w:r w:rsidRPr="007E7E0E">
        <w:t xml:space="preserve">2020 U.S. Dist. LEXIS 177593 (W.D. Pa. Sept. 28, 2020) </w:t>
      </w:r>
      <w:r w:rsidRPr="007E7E0E">
        <w:tab/>
        <w:t xml:space="preserve"> 10, 11</w:t>
      </w:r>
    </w:p>
    <w:p w14:paraId="1B6CE8A0" w14:textId="77777777" w:rsidR="0023070A" w:rsidRPr="007E7E0E" w:rsidRDefault="0023070A" w:rsidP="0023070A">
      <w:pPr>
        <w:tabs>
          <w:tab w:val="right" w:leader="dot" w:pos="9346"/>
        </w:tabs>
        <w:rPr>
          <w:i/>
          <w:iCs/>
        </w:rPr>
      </w:pPr>
    </w:p>
    <w:p w14:paraId="3C24FAB2" w14:textId="77777777" w:rsidR="0023070A" w:rsidRPr="007E7E0E" w:rsidRDefault="0023070A" w:rsidP="0023070A">
      <w:pPr>
        <w:tabs>
          <w:tab w:val="right" w:leader="dot" w:pos="9346"/>
        </w:tabs>
      </w:pPr>
      <w:r w:rsidRPr="007E7E0E">
        <w:rPr>
          <w:i/>
          <w:iCs/>
        </w:rPr>
        <w:t>P.N. v. Clementon Bd. of Educ</w:t>
      </w:r>
      <w:r w:rsidRPr="007E7E0E">
        <w:t xml:space="preserve">., </w:t>
      </w:r>
    </w:p>
    <w:p w14:paraId="71B25DD2" w14:textId="77777777" w:rsidR="0023070A" w:rsidRPr="007E7E0E" w:rsidRDefault="0023070A" w:rsidP="0023070A">
      <w:pPr>
        <w:tabs>
          <w:tab w:val="right" w:leader="dot" w:pos="9346"/>
        </w:tabs>
        <w:ind w:left="360"/>
      </w:pPr>
      <w:r w:rsidRPr="007E7E0E">
        <w:t xml:space="preserve">442 F.3d 848 (3d Cir. 2006), </w:t>
      </w:r>
    </w:p>
    <w:p w14:paraId="62C6355A" w14:textId="77777777" w:rsidR="0023070A" w:rsidRPr="007E7E0E" w:rsidRDefault="0023070A" w:rsidP="0023070A">
      <w:pPr>
        <w:tabs>
          <w:tab w:val="right" w:leader="dot" w:pos="9346"/>
        </w:tabs>
        <w:ind w:left="360"/>
      </w:pPr>
      <w:r w:rsidRPr="007E7E0E">
        <w:rPr>
          <w:i/>
          <w:iCs/>
        </w:rPr>
        <w:t>cert. denied</w:t>
      </w:r>
      <w:r w:rsidRPr="007E7E0E">
        <w:t xml:space="preserve">, 549 U.S. 881 (2006) </w:t>
      </w:r>
      <w:r w:rsidRPr="007E7E0E">
        <w:tab/>
        <w:t xml:space="preserve"> 3</w:t>
      </w:r>
    </w:p>
    <w:p w14:paraId="68F9A578" w14:textId="77777777" w:rsidR="0023070A" w:rsidRPr="007E7E0E" w:rsidRDefault="0023070A" w:rsidP="0023070A">
      <w:pPr>
        <w:tabs>
          <w:tab w:val="right" w:leader="dot" w:pos="9346"/>
        </w:tabs>
        <w:rPr>
          <w:i/>
          <w:iCs/>
        </w:rPr>
      </w:pPr>
    </w:p>
    <w:p w14:paraId="4C4DDC63" w14:textId="77777777" w:rsidR="0023070A" w:rsidRPr="007E7E0E" w:rsidRDefault="0023070A" w:rsidP="0023070A">
      <w:pPr>
        <w:tabs>
          <w:tab w:val="right" w:leader="dot" w:pos="9346"/>
        </w:tabs>
      </w:pPr>
      <w:r w:rsidRPr="007E7E0E">
        <w:rPr>
          <w:i/>
          <w:iCs/>
        </w:rPr>
        <w:t>Pennsylvania v. Del. Valley Citizens’ Council for Clean Air</w:t>
      </w:r>
      <w:r w:rsidRPr="007E7E0E">
        <w:t xml:space="preserve">, </w:t>
      </w:r>
    </w:p>
    <w:p w14:paraId="620C9C1A" w14:textId="77777777" w:rsidR="0023070A" w:rsidRPr="007E7E0E" w:rsidRDefault="0023070A" w:rsidP="0023070A">
      <w:pPr>
        <w:tabs>
          <w:tab w:val="right" w:leader="dot" w:pos="9346"/>
        </w:tabs>
        <w:ind w:left="360"/>
      </w:pPr>
      <w:r w:rsidRPr="007E7E0E">
        <w:t xml:space="preserve">478 U.S. 546 (1986), </w:t>
      </w:r>
    </w:p>
    <w:p w14:paraId="18CD7EFE" w14:textId="77777777" w:rsidR="0023070A" w:rsidRPr="007E7E0E" w:rsidRDefault="0023070A" w:rsidP="0023070A">
      <w:pPr>
        <w:tabs>
          <w:tab w:val="right" w:leader="dot" w:pos="9346"/>
        </w:tabs>
        <w:ind w:left="360"/>
      </w:pPr>
      <w:r w:rsidRPr="007E7E0E">
        <w:rPr>
          <w:i/>
          <w:iCs/>
        </w:rPr>
        <w:t>supplemented</w:t>
      </w:r>
      <w:r w:rsidRPr="007E7E0E">
        <w:t xml:space="preserve">, 483 U.S. 711 (1987) </w:t>
      </w:r>
      <w:r w:rsidRPr="007E7E0E">
        <w:tab/>
        <w:t xml:space="preserve"> 5, 7</w:t>
      </w:r>
    </w:p>
    <w:p w14:paraId="1E8D9F2E" w14:textId="77777777" w:rsidR="0023070A" w:rsidRPr="007E7E0E" w:rsidRDefault="0023070A" w:rsidP="0023070A">
      <w:pPr>
        <w:tabs>
          <w:tab w:val="right" w:leader="dot" w:pos="9346"/>
        </w:tabs>
      </w:pPr>
      <w:r w:rsidRPr="007E7E0E">
        <w:rPr>
          <w:i/>
          <w:iCs/>
        </w:rPr>
        <w:lastRenderedPageBreak/>
        <w:t>People Against Police Violence v. City of Pittsburgh</w:t>
      </w:r>
      <w:r w:rsidRPr="007E7E0E">
        <w:t xml:space="preserve">, </w:t>
      </w:r>
    </w:p>
    <w:p w14:paraId="3A20776F" w14:textId="77777777" w:rsidR="0023070A" w:rsidRPr="007E7E0E" w:rsidRDefault="0023070A" w:rsidP="0023070A">
      <w:pPr>
        <w:tabs>
          <w:tab w:val="right" w:leader="dot" w:pos="9346"/>
        </w:tabs>
        <w:ind w:left="360"/>
      </w:pPr>
      <w:r w:rsidRPr="007E7E0E">
        <w:t xml:space="preserve">520 F.3d 226 (3d Cir. 2008) </w:t>
      </w:r>
      <w:r w:rsidRPr="007E7E0E">
        <w:tab/>
        <w:t xml:space="preserve"> 3, 5, 7</w:t>
      </w:r>
    </w:p>
    <w:p w14:paraId="0A92C15B" w14:textId="77777777" w:rsidR="0023070A" w:rsidRPr="007E7E0E" w:rsidRDefault="0023070A" w:rsidP="0023070A">
      <w:pPr>
        <w:tabs>
          <w:tab w:val="right" w:leader="dot" w:pos="9346"/>
        </w:tabs>
        <w:rPr>
          <w:i/>
          <w:iCs/>
        </w:rPr>
      </w:pPr>
    </w:p>
    <w:p w14:paraId="3B108658" w14:textId="77777777" w:rsidR="0023070A" w:rsidRPr="007E7E0E" w:rsidRDefault="0023070A" w:rsidP="0023070A">
      <w:pPr>
        <w:tabs>
          <w:tab w:val="right" w:leader="dot" w:pos="9346"/>
        </w:tabs>
      </w:pPr>
      <w:r w:rsidRPr="007E7E0E">
        <w:rPr>
          <w:i/>
          <w:iCs/>
        </w:rPr>
        <w:t>Pub. Interest Research Grp. of N.J., Inc. v. Windall</w:t>
      </w:r>
      <w:r w:rsidRPr="007E7E0E">
        <w:t xml:space="preserve">, </w:t>
      </w:r>
    </w:p>
    <w:p w14:paraId="03FE9FFC" w14:textId="77777777" w:rsidR="0023070A" w:rsidRPr="007E7E0E" w:rsidRDefault="0023070A" w:rsidP="0023070A">
      <w:pPr>
        <w:tabs>
          <w:tab w:val="right" w:leader="dot" w:pos="9346"/>
        </w:tabs>
        <w:ind w:left="360"/>
      </w:pPr>
      <w:r w:rsidRPr="007E7E0E">
        <w:t xml:space="preserve">51 F.3d 1179 (3d Cir. 1995) </w:t>
      </w:r>
      <w:r w:rsidRPr="007E7E0E">
        <w:tab/>
        <w:t xml:space="preserve"> 9, 10</w:t>
      </w:r>
    </w:p>
    <w:p w14:paraId="5A4C3AFF" w14:textId="77777777" w:rsidR="0023070A" w:rsidRPr="007E7E0E" w:rsidRDefault="0023070A" w:rsidP="0023070A">
      <w:pPr>
        <w:tabs>
          <w:tab w:val="right" w:leader="dot" w:pos="9346"/>
        </w:tabs>
        <w:rPr>
          <w:i/>
          <w:iCs/>
        </w:rPr>
      </w:pPr>
    </w:p>
    <w:p w14:paraId="3980282C" w14:textId="77777777" w:rsidR="0023070A" w:rsidRPr="007E7E0E" w:rsidRDefault="0023070A" w:rsidP="0023070A">
      <w:pPr>
        <w:tabs>
          <w:tab w:val="right" w:leader="dot" w:pos="9346"/>
        </w:tabs>
      </w:pPr>
      <w:r w:rsidRPr="007E7E0E">
        <w:rPr>
          <w:i/>
          <w:iCs/>
        </w:rPr>
        <w:t>Rode v. Dellarciprete</w:t>
      </w:r>
      <w:r w:rsidRPr="007E7E0E">
        <w:t xml:space="preserve">, </w:t>
      </w:r>
    </w:p>
    <w:p w14:paraId="0491EA2B" w14:textId="77777777" w:rsidR="0023070A" w:rsidRPr="007E7E0E" w:rsidRDefault="0023070A" w:rsidP="0023070A">
      <w:pPr>
        <w:tabs>
          <w:tab w:val="right" w:leader="dot" w:pos="9346"/>
        </w:tabs>
        <w:ind w:left="360"/>
      </w:pPr>
      <w:r w:rsidRPr="007E7E0E">
        <w:t xml:space="preserve">892 F.2d 1177 (3d Cir. 1990) </w:t>
      </w:r>
      <w:r w:rsidRPr="007E7E0E">
        <w:tab/>
        <w:t xml:space="preserve"> 4</w:t>
      </w:r>
    </w:p>
    <w:p w14:paraId="6CD1205A" w14:textId="77777777" w:rsidR="0023070A" w:rsidRPr="007E7E0E" w:rsidRDefault="0023070A" w:rsidP="0023070A">
      <w:pPr>
        <w:tabs>
          <w:tab w:val="right" w:leader="dot" w:pos="9346"/>
        </w:tabs>
        <w:rPr>
          <w:i/>
          <w:iCs/>
        </w:rPr>
      </w:pPr>
    </w:p>
    <w:p w14:paraId="2DD30765" w14:textId="77777777" w:rsidR="0023070A" w:rsidRPr="007E7E0E" w:rsidRDefault="0023070A" w:rsidP="0023070A">
      <w:pPr>
        <w:tabs>
          <w:tab w:val="right" w:leader="dot" w:pos="9346"/>
        </w:tabs>
      </w:pPr>
      <w:r w:rsidRPr="007E7E0E">
        <w:rPr>
          <w:i/>
          <w:iCs/>
        </w:rPr>
        <w:t>Truesdell v. Phila. Hous. Auth.</w:t>
      </w:r>
      <w:r w:rsidRPr="007E7E0E">
        <w:t xml:space="preserve">, </w:t>
      </w:r>
    </w:p>
    <w:p w14:paraId="13CF7A59" w14:textId="77777777" w:rsidR="0023070A" w:rsidRPr="007E7E0E" w:rsidRDefault="0023070A" w:rsidP="0023070A">
      <w:pPr>
        <w:tabs>
          <w:tab w:val="right" w:leader="dot" w:pos="9346"/>
        </w:tabs>
        <w:ind w:left="360"/>
      </w:pPr>
      <w:r w:rsidRPr="007E7E0E">
        <w:t xml:space="preserve">290 F.3d 159 (3d Cir. 2002) </w:t>
      </w:r>
      <w:r w:rsidRPr="007E7E0E">
        <w:tab/>
        <w:t xml:space="preserve"> 3</w:t>
      </w:r>
    </w:p>
    <w:p w14:paraId="199554D8" w14:textId="77777777" w:rsidR="0023070A" w:rsidRPr="007E7E0E" w:rsidRDefault="0023070A" w:rsidP="0023070A">
      <w:pPr>
        <w:tabs>
          <w:tab w:val="right" w:leader="dot" w:pos="9346"/>
        </w:tabs>
        <w:rPr>
          <w:i/>
          <w:iCs/>
        </w:rPr>
      </w:pPr>
    </w:p>
    <w:p w14:paraId="10E491E7" w14:textId="77777777" w:rsidR="0023070A" w:rsidRPr="007E7E0E" w:rsidRDefault="0023070A" w:rsidP="0023070A">
      <w:pPr>
        <w:tabs>
          <w:tab w:val="right" w:leader="dot" w:pos="9346"/>
        </w:tabs>
      </w:pPr>
      <w:r w:rsidRPr="007E7E0E">
        <w:rPr>
          <w:i/>
          <w:iCs/>
        </w:rPr>
        <w:t>United States v. Eleven Vehicles, Their Equip. &amp; Accessories</w:t>
      </w:r>
      <w:r w:rsidRPr="007E7E0E">
        <w:t xml:space="preserve">, </w:t>
      </w:r>
    </w:p>
    <w:p w14:paraId="2BBDFD92" w14:textId="77777777" w:rsidR="0023070A" w:rsidRPr="007E7E0E" w:rsidRDefault="0023070A" w:rsidP="0023070A">
      <w:pPr>
        <w:tabs>
          <w:tab w:val="right" w:leader="dot" w:pos="9346"/>
        </w:tabs>
        <w:ind w:left="360"/>
      </w:pPr>
      <w:r w:rsidRPr="007E7E0E">
        <w:t xml:space="preserve">200 F.3d 203 (3d Cir. 2000) </w:t>
      </w:r>
      <w:r w:rsidRPr="007E7E0E">
        <w:tab/>
        <w:t xml:space="preserve"> 4</w:t>
      </w:r>
    </w:p>
    <w:p w14:paraId="32B59BC9" w14:textId="77777777" w:rsidR="0023070A" w:rsidRPr="007E7E0E" w:rsidRDefault="0023070A" w:rsidP="0023070A">
      <w:pPr>
        <w:tabs>
          <w:tab w:val="right" w:leader="dot" w:pos="9346"/>
        </w:tabs>
        <w:rPr>
          <w:i/>
          <w:iCs/>
        </w:rPr>
      </w:pPr>
    </w:p>
    <w:p w14:paraId="7C264E60" w14:textId="77777777" w:rsidR="0023070A" w:rsidRPr="007E7E0E" w:rsidRDefault="0023070A" w:rsidP="0023070A">
      <w:pPr>
        <w:tabs>
          <w:tab w:val="right" w:leader="dot" w:pos="9346"/>
        </w:tabs>
      </w:pPr>
      <w:r w:rsidRPr="007E7E0E">
        <w:rPr>
          <w:i/>
          <w:iCs/>
        </w:rPr>
        <w:t>Witcher v. Phila. Hous. Auth.</w:t>
      </w:r>
      <w:r w:rsidRPr="007E7E0E">
        <w:t xml:space="preserve">, No. 01-cv-00585, </w:t>
      </w:r>
    </w:p>
    <w:p w14:paraId="6499A957" w14:textId="77777777" w:rsidR="0023070A" w:rsidRPr="007E7E0E" w:rsidRDefault="0023070A" w:rsidP="0023070A">
      <w:pPr>
        <w:tabs>
          <w:tab w:val="right" w:leader="dot" w:pos="9346"/>
        </w:tabs>
        <w:ind w:left="360"/>
      </w:pPr>
      <w:r w:rsidRPr="007E7E0E">
        <w:t xml:space="preserve">2002 U.S. Dist. LEXIS 16262 (E.D. Pa. Aug. 19, 2002) </w:t>
      </w:r>
      <w:r w:rsidRPr="007E7E0E">
        <w:tab/>
        <w:t xml:space="preserve"> 3</w:t>
      </w:r>
    </w:p>
    <w:p w14:paraId="7602612B" w14:textId="77777777" w:rsidR="0023070A" w:rsidRPr="007E7E0E" w:rsidRDefault="0023070A" w:rsidP="0023070A">
      <w:pPr>
        <w:tabs>
          <w:tab w:val="right" w:leader="dot" w:pos="9346"/>
        </w:tabs>
      </w:pPr>
    </w:p>
    <w:p w14:paraId="5456A468" w14:textId="77777777" w:rsidR="0023070A" w:rsidRPr="007E7E0E" w:rsidRDefault="0023070A" w:rsidP="0023070A">
      <w:pPr>
        <w:pStyle w:val="TOAHeading"/>
        <w:tabs>
          <w:tab w:val="right" w:leader="dot" w:pos="9346"/>
        </w:tabs>
        <w:spacing w:before="0"/>
        <w:rPr>
          <w:rFonts w:ascii="Times New Roman" w:hAnsi="Times New Roman" w:cs="Times New Roman"/>
          <w:bCs w:val="0"/>
        </w:rPr>
      </w:pPr>
      <w:r w:rsidRPr="007E7E0E">
        <w:rPr>
          <w:rFonts w:ascii="Times New Roman" w:hAnsi="Times New Roman" w:cs="Times New Roman"/>
          <w:bCs w:val="0"/>
        </w:rPr>
        <w:t>Regulations and Statutes</w:t>
      </w:r>
    </w:p>
    <w:p w14:paraId="1AEE184E" w14:textId="77777777" w:rsidR="0023070A" w:rsidRPr="007E7E0E" w:rsidRDefault="0023070A" w:rsidP="0023070A">
      <w:pPr>
        <w:tabs>
          <w:tab w:val="right" w:leader="dot" w:pos="9346"/>
        </w:tabs>
      </w:pPr>
    </w:p>
    <w:p w14:paraId="3B2718BE" w14:textId="77777777" w:rsidR="0023070A" w:rsidRPr="007E7E0E" w:rsidRDefault="0023070A" w:rsidP="0023070A">
      <w:pPr>
        <w:pStyle w:val="TOAHeading"/>
        <w:tabs>
          <w:tab w:val="right" w:leader="dot" w:pos="9346"/>
        </w:tabs>
        <w:spacing w:before="0"/>
        <w:rPr>
          <w:rFonts w:ascii="Times New Roman" w:hAnsi="Times New Roman" w:cs="Times New Roman"/>
          <w:b w:val="0"/>
        </w:rPr>
      </w:pPr>
      <w:r w:rsidRPr="007E7E0E">
        <w:rPr>
          <w:rFonts w:ascii="Times New Roman" w:hAnsi="Times New Roman" w:cs="Times New Roman"/>
          <w:b w:val="0"/>
        </w:rPr>
        <w:t xml:space="preserve">28 C.F.R. § 36.505 </w:t>
      </w:r>
      <w:r w:rsidRPr="007E7E0E">
        <w:rPr>
          <w:rFonts w:ascii="Times New Roman" w:hAnsi="Times New Roman" w:cs="Times New Roman"/>
          <w:b w:val="0"/>
        </w:rPr>
        <w:tab/>
        <w:t xml:space="preserve"> 1, 12</w:t>
      </w:r>
    </w:p>
    <w:p w14:paraId="65ECF189" w14:textId="77777777" w:rsidR="0023070A" w:rsidRPr="007E7E0E" w:rsidRDefault="0023070A" w:rsidP="0023070A">
      <w:pPr>
        <w:pStyle w:val="TOAHeading"/>
        <w:tabs>
          <w:tab w:val="right" w:leader="dot" w:pos="9346"/>
        </w:tabs>
        <w:spacing w:before="0"/>
        <w:rPr>
          <w:rFonts w:ascii="Times New Roman" w:hAnsi="Times New Roman" w:cs="Times New Roman"/>
          <w:b w:val="0"/>
        </w:rPr>
      </w:pPr>
    </w:p>
    <w:p w14:paraId="4DFAFDAB" w14:textId="77777777" w:rsidR="0023070A" w:rsidRPr="007E7E0E" w:rsidRDefault="0023070A" w:rsidP="0023070A">
      <w:pPr>
        <w:tabs>
          <w:tab w:val="right" w:leader="dot" w:pos="9346"/>
        </w:tabs>
      </w:pPr>
      <w:r w:rsidRPr="007E7E0E">
        <w:t xml:space="preserve">42 U.S.C. § 12188(a)(2) </w:t>
      </w:r>
      <w:r w:rsidRPr="007E7E0E">
        <w:tab/>
        <w:t xml:space="preserve"> 13</w:t>
      </w:r>
    </w:p>
    <w:p w14:paraId="30E26E5A" w14:textId="77777777" w:rsidR="0023070A" w:rsidRPr="007E7E0E" w:rsidRDefault="0023070A" w:rsidP="0023070A">
      <w:pPr>
        <w:tabs>
          <w:tab w:val="right" w:leader="dot" w:pos="9346"/>
        </w:tabs>
      </w:pPr>
    </w:p>
    <w:p w14:paraId="79B03561" w14:textId="77777777" w:rsidR="0023070A" w:rsidRPr="007E7E0E" w:rsidRDefault="0023070A" w:rsidP="0023070A">
      <w:pPr>
        <w:pStyle w:val="TOAHeading"/>
        <w:tabs>
          <w:tab w:val="right" w:leader="dot" w:pos="9346"/>
        </w:tabs>
        <w:spacing w:before="0"/>
        <w:rPr>
          <w:rFonts w:ascii="Times New Roman" w:hAnsi="Times New Roman" w:cs="Times New Roman"/>
          <w:b w:val="0"/>
        </w:rPr>
      </w:pPr>
      <w:r w:rsidRPr="007E7E0E">
        <w:rPr>
          <w:rFonts w:ascii="Times New Roman" w:hAnsi="Times New Roman" w:cs="Times New Roman"/>
          <w:b w:val="0"/>
        </w:rPr>
        <w:t xml:space="preserve">42 U.S.C. § 12205 </w:t>
      </w:r>
      <w:r w:rsidRPr="007E7E0E">
        <w:rPr>
          <w:rFonts w:ascii="Times New Roman" w:hAnsi="Times New Roman" w:cs="Times New Roman"/>
          <w:b w:val="0"/>
        </w:rPr>
        <w:tab/>
        <w:t xml:space="preserve"> 1, 3, 12</w:t>
      </w:r>
    </w:p>
    <w:p w14:paraId="77FCBD66" w14:textId="77777777" w:rsidR="0023070A" w:rsidRPr="007E7E0E" w:rsidRDefault="0023070A" w:rsidP="0023070A">
      <w:pPr>
        <w:tabs>
          <w:tab w:val="right" w:leader="dot" w:pos="9346"/>
        </w:tabs>
      </w:pPr>
    </w:p>
    <w:p w14:paraId="35FAF94D" w14:textId="77777777" w:rsidR="0023070A" w:rsidRPr="007E7E0E" w:rsidRDefault="0023070A" w:rsidP="0023070A">
      <w:pPr>
        <w:tabs>
          <w:tab w:val="right" w:leader="dot" w:pos="9346"/>
        </w:tabs>
        <w:rPr>
          <w:b/>
          <w:bCs/>
        </w:rPr>
      </w:pPr>
      <w:r w:rsidRPr="007E7E0E">
        <w:rPr>
          <w:b/>
          <w:bCs/>
        </w:rPr>
        <w:t>Rules</w:t>
      </w:r>
    </w:p>
    <w:p w14:paraId="783AD390" w14:textId="77777777" w:rsidR="0023070A" w:rsidRPr="007E7E0E" w:rsidRDefault="0023070A" w:rsidP="0023070A">
      <w:pPr>
        <w:tabs>
          <w:tab w:val="right" w:leader="dot" w:pos="9346"/>
        </w:tabs>
      </w:pPr>
    </w:p>
    <w:p w14:paraId="03D33E4B" w14:textId="77777777" w:rsidR="0023070A" w:rsidRPr="007E7E0E" w:rsidRDefault="0023070A" w:rsidP="0023070A">
      <w:pPr>
        <w:tabs>
          <w:tab w:val="right" w:leader="dot" w:pos="9346"/>
        </w:tabs>
        <w:rPr>
          <w:noProof/>
          <w:szCs w:val="24"/>
        </w:rPr>
      </w:pPr>
      <w:r w:rsidRPr="007E7E0E">
        <w:rPr>
          <w:noProof/>
          <w:szCs w:val="24"/>
        </w:rPr>
        <w:t xml:space="preserve">Fed. R. Civ. P. 23(h) </w:t>
      </w:r>
      <w:r w:rsidRPr="007E7E0E">
        <w:rPr>
          <w:noProof/>
          <w:szCs w:val="24"/>
        </w:rPr>
        <w:tab/>
        <w:t xml:space="preserve"> 1</w:t>
      </w:r>
    </w:p>
    <w:p w14:paraId="5A0963D7" w14:textId="77777777" w:rsidR="0023070A" w:rsidRPr="007E7E0E" w:rsidRDefault="0023070A" w:rsidP="0023070A">
      <w:pPr>
        <w:tabs>
          <w:tab w:val="right" w:leader="dot" w:pos="9346"/>
        </w:tabs>
        <w:rPr>
          <w:rFonts w:eastAsiaTheme="majorEastAsia"/>
          <w:bCs/>
          <w:szCs w:val="24"/>
        </w:rPr>
      </w:pPr>
    </w:p>
    <w:p w14:paraId="35480978" w14:textId="77777777" w:rsidR="0023070A" w:rsidRPr="007E7E0E" w:rsidRDefault="0023070A" w:rsidP="0023070A">
      <w:pPr>
        <w:tabs>
          <w:tab w:val="right" w:leader="dot" w:pos="9346"/>
        </w:tabs>
        <w:rPr>
          <w:rFonts w:eastAsiaTheme="majorEastAsia"/>
          <w:b/>
          <w:szCs w:val="24"/>
        </w:rPr>
      </w:pPr>
      <w:r w:rsidRPr="007E7E0E">
        <w:rPr>
          <w:rFonts w:eastAsiaTheme="majorEastAsia"/>
          <w:b/>
          <w:szCs w:val="24"/>
        </w:rPr>
        <w:t>Other Authorities</w:t>
      </w:r>
    </w:p>
    <w:p w14:paraId="27A01CAF" w14:textId="77777777" w:rsidR="0023070A" w:rsidRPr="007E7E0E" w:rsidRDefault="0023070A" w:rsidP="0023070A">
      <w:pPr>
        <w:tabs>
          <w:tab w:val="right" w:leader="dot" w:pos="9346"/>
        </w:tabs>
        <w:rPr>
          <w:rFonts w:eastAsiaTheme="majorEastAsia"/>
          <w:bCs/>
          <w:szCs w:val="24"/>
        </w:rPr>
      </w:pPr>
    </w:p>
    <w:p w14:paraId="4479221E" w14:textId="77777777" w:rsidR="0023070A" w:rsidRPr="007E7E0E" w:rsidRDefault="0023070A" w:rsidP="0023070A">
      <w:pPr>
        <w:tabs>
          <w:tab w:val="right" w:leader="dot" w:pos="9346"/>
        </w:tabs>
        <w:rPr>
          <w:bCs/>
          <w:i/>
          <w:iCs/>
          <w:szCs w:val="24"/>
        </w:rPr>
      </w:pPr>
      <w:r w:rsidRPr="007E7E0E">
        <w:rPr>
          <w:bCs/>
          <w:i/>
          <w:iCs/>
          <w:szCs w:val="24"/>
        </w:rPr>
        <w:t>Justice Department Issues Web Accessibility Guidance Under</w:t>
      </w:r>
    </w:p>
    <w:p w14:paraId="761EA9BE" w14:textId="77777777" w:rsidR="0023070A" w:rsidRPr="007E7E0E" w:rsidRDefault="0023070A" w:rsidP="0023070A">
      <w:pPr>
        <w:tabs>
          <w:tab w:val="right" w:leader="dot" w:pos="9346"/>
        </w:tabs>
        <w:ind w:left="360"/>
        <w:rPr>
          <w:bCs/>
          <w:szCs w:val="24"/>
        </w:rPr>
      </w:pPr>
      <w:r w:rsidRPr="007E7E0E">
        <w:rPr>
          <w:bCs/>
          <w:i/>
          <w:iCs/>
          <w:szCs w:val="24"/>
        </w:rPr>
        <w:t>the Americans with Disabilities Act</w:t>
      </w:r>
      <w:r w:rsidRPr="007E7E0E">
        <w:rPr>
          <w:bCs/>
          <w:szCs w:val="24"/>
        </w:rPr>
        <w:t xml:space="preserve">, DOJ (Mar. 18, 2022), </w:t>
      </w:r>
      <w:hyperlink r:id="rId9" w:history="1">
        <w:r w:rsidRPr="007E7E0E">
          <w:rPr>
            <w:rStyle w:val="Hyperlink"/>
            <w:bCs/>
            <w:szCs w:val="24"/>
          </w:rPr>
          <w:t>https://www.justice.gov/opa/pr/justice-department-issues-</w:t>
        </w:r>
        <w:r w:rsidRPr="007E7E0E">
          <w:rPr>
            <w:rStyle w:val="Hyperlink"/>
            <w:bCs/>
            <w:szCs w:val="24"/>
          </w:rPr>
          <w:br/>
          <w:t>web-accessibility-guidance-under-americans-disabilities-act</w:t>
        </w:r>
      </w:hyperlink>
      <w:r w:rsidRPr="007E7E0E">
        <w:rPr>
          <w:bCs/>
          <w:szCs w:val="24"/>
        </w:rPr>
        <w:t xml:space="preserve"> </w:t>
      </w:r>
      <w:r w:rsidRPr="007E7E0E">
        <w:rPr>
          <w:bCs/>
          <w:szCs w:val="24"/>
        </w:rPr>
        <w:tab/>
        <w:t xml:space="preserve"> 14</w:t>
      </w:r>
    </w:p>
    <w:p w14:paraId="1162DDDB" w14:textId="77777777" w:rsidR="0023070A" w:rsidRPr="007E7E0E" w:rsidRDefault="0023070A" w:rsidP="0023070A">
      <w:pPr>
        <w:tabs>
          <w:tab w:val="right" w:leader="dot" w:pos="9346"/>
        </w:tabs>
      </w:pPr>
    </w:p>
    <w:p w14:paraId="18E5C98B" w14:textId="77777777" w:rsidR="0023070A" w:rsidRDefault="0023070A" w:rsidP="0023070A">
      <w:pPr>
        <w:tabs>
          <w:tab w:val="right" w:leader="dot" w:pos="9346"/>
        </w:tabs>
      </w:pPr>
      <w:r w:rsidRPr="007E7E0E">
        <w:t xml:space="preserve">Manual for Complex Litigation (Fourth) § 21.62 (2004) </w:t>
      </w:r>
      <w:r w:rsidRPr="007E7E0E">
        <w:tab/>
        <w:t xml:space="preserve"> 16</w:t>
      </w:r>
    </w:p>
    <w:p w14:paraId="66B97CAF" w14:textId="74F1203C" w:rsidR="002F792D" w:rsidRPr="008C6CED" w:rsidRDefault="002F792D" w:rsidP="002F792D">
      <w:pPr>
        <w:spacing w:line="480" w:lineRule="auto"/>
        <w:rPr>
          <w:b/>
          <w:szCs w:val="24"/>
          <w:highlight w:val="yellow"/>
          <w:u w:val="single"/>
        </w:rPr>
        <w:sectPr w:rsidR="002F792D" w:rsidRPr="008C6CED" w:rsidSect="00FE51CE">
          <w:pgSz w:w="12240" w:h="15840"/>
          <w:pgMar w:top="1440" w:right="1440" w:bottom="1440" w:left="1440" w:header="720" w:footer="720" w:gutter="0"/>
          <w:pgNumType w:fmt="lowerRoman" w:start="1"/>
          <w:cols w:space="720"/>
          <w:docGrid w:linePitch="360"/>
        </w:sectPr>
      </w:pPr>
    </w:p>
    <w:p w14:paraId="42F73B10" w14:textId="3340DB89" w:rsidR="00C1723D" w:rsidRPr="00231C57" w:rsidRDefault="00F325AE" w:rsidP="00231C57">
      <w:pPr>
        <w:spacing w:line="480" w:lineRule="auto"/>
        <w:ind w:firstLine="720"/>
        <w:jc w:val="both"/>
        <w:rPr>
          <w:szCs w:val="24"/>
        </w:rPr>
      </w:pPr>
      <w:r w:rsidRPr="00231C57">
        <w:rPr>
          <w:szCs w:val="24"/>
        </w:rPr>
        <w:lastRenderedPageBreak/>
        <w:t xml:space="preserve">Plaintiff </w:t>
      </w:r>
      <w:r w:rsidR="00C14538" w:rsidRPr="00231C57">
        <w:rPr>
          <w:szCs w:val="24"/>
        </w:rPr>
        <w:t>Blair Douglass</w:t>
      </w:r>
      <w:r w:rsidRPr="00231C57">
        <w:rPr>
          <w:szCs w:val="24"/>
        </w:rPr>
        <w:t>, by and through undersigned counsel, submit</w:t>
      </w:r>
      <w:r w:rsidR="00E71ED7" w:rsidRPr="00231C57">
        <w:rPr>
          <w:szCs w:val="24"/>
        </w:rPr>
        <w:t>s</w:t>
      </w:r>
      <w:r w:rsidRPr="00231C57">
        <w:rPr>
          <w:szCs w:val="24"/>
        </w:rPr>
        <w:t xml:space="preserve"> this </w:t>
      </w:r>
      <w:r w:rsidR="00231C57" w:rsidRPr="00231C57">
        <w:rPr>
          <w:szCs w:val="24"/>
        </w:rPr>
        <w:t>Memorandum In Support Of Plaintiff’s Motion For Attorneys’ Fees And Incentive Award</w:t>
      </w:r>
      <w:r w:rsidRPr="00231C57">
        <w:rPr>
          <w:szCs w:val="24"/>
        </w:rPr>
        <w:t>.</w:t>
      </w:r>
    </w:p>
    <w:p w14:paraId="3FBFDA47" w14:textId="76C75F50" w:rsidR="00F325AE" w:rsidRPr="00C14538" w:rsidRDefault="00F325AE" w:rsidP="00E458A2">
      <w:pPr>
        <w:pStyle w:val="ListParagraph"/>
        <w:keepNext/>
        <w:numPr>
          <w:ilvl w:val="0"/>
          <w:numId w:val="7"/>
        </w:numPr>
        <w:spacing w:line="480" w:lineRule="auto"/>
        <w:ind w:right="720" w:hanging="720"/>
        <w:jc w:val="both"/>
        <w:rPr>
          <w:szCs w:val="24"/>
        </w:rPr>
      </w:pPr>
      <w:r w:rsidRPr="00C14538">
        <w:rPr>
          <w:b/>
          <w:bCs/>
          <w:szCs w:val="24"/>
        </w:rPr>
        <w:t>INTRODUCTION</w:t>
      </w:r>
    </w:p>
    <w:p w14:paraId="59A07FD0" w14:textId="64A7F3F9" w:rsidR="00F325AE" w:rsidRPr="00CE14C5" w:rsidRDefault="00F325AE" w:rsidP="007A5075">
      <w:pPr>
        <w:spacing w:line="480" w:lineRule="auto"/>
        <w:ind w:firstLine="720"/>
        <w:jc w:val="both"/>
        <w:rPr>
          <w:szCs w:val="24"/>
        </w:rPr>
      </w:pPr>
      <w:r w:rsidRPr="00CE14C5">
        <w:rPr>
          <w:szCs w:val="24"/>
        </w:rPr>
        <w:t xml:space="preserve">Pursuant to </w:t>
      </w:r>
      <w:r w:rsidR="00EF7540" w:rsidRPr="00CE14C5">
        <w:rPr>
          <w:szCs w:val="24"/>
        </w:rPr>
        <w:t>Fed. R. Civ. P. 23(h), 42 U.S.C. § 12205</w:t>
      </w:r>
      <w:r w:rsidR="001C1619" w:rsidRPr="00CE14C5">
        <w:rPr>
          <w:szCs w:val="24"/>
        </w:rPr>
        <w:t>,</w:t>
      </w:r>
      <w:r w:rsidR="00262353" w:rsidRPr="00CE14C5">
        <w:rPr>
          <w:szCs w:val="24"/>
        </w:rPr>
        <w:fldChar w:fldCharType="begin"/>
      </w:r>
      <w:r w:rsidR="00262353" w:rsidRPr="00CE14C5">
        <w:rPr>
          <w:szCs w:val="24"/>
        </w:rPr>
        <w:instrText xml:space="preserve"> TA \l "42 U.S.C. § 12205" \s "42 U.S.C. § 12205" \c 2 </w:instrText>
      </w:r>
      <w:r w:rsidR="00262353" w:rsidRPr="00CE14C5">
        <w:rPr>
          <w:szCs w:val="24"/>
        </w:rPr>
        <w:fldChar w:fldCharType="end"/>
      </w:r>
      <w:r w:rsidR="00EF7540" w:rsidRPr="00CE14C5">
        <w:rPr>
          <w:szCs w:val="24"/>
        </w:rPr>
        <w:t xml:space="preserve"> 28 C</w:t>
      </w:r>
      <w:r w:rsidR="001C1619" w:rsidRPr="00CE14C5">
        <w:rPr>
          <w:szCs w:val="24"/>
        </w:rPr>
        <w:t>.</w:t>
      </w:r>
      <w:r w:rsidR="00EF7540" w:rsidRPr="00CE14C5">
        <w:rPr>
          <w:szCs w:val="24"/>
        </w:rPr>
        <w:t>F</w:t>
      </w:r>
      <w:r w:rsidR="001C1619" w:rsidRPr="00CE14C5">
        <w:rPr>
          <w:szCs w:val="24"/>
        </w:rPr>
        <w:t>.</w:t>
      </w:r>
      <w:r w:rsidR="00EF7540" w:rsidRPr="00CE14C5">
        <w:rPr>
          <w:szCs w:val="24"/>
        </w:rPr>
        <w:t>R</w:t>
      </w:r>
      <w:r w:rsidR="001C1619" w:rsidRPr="00CE14C5">
        <w:rPr>
          <w:szCs w:val="24"/>
        </w:rPr>
        <w:t>.</w:t>
      </w:r>
      <w:r w:rsidR="002504BF" w:rsidRPr="00CE14C5">
        <w:rPr>
          <w:szCs w:val="24"/>
        </w:rPr>
        <w:t xml:space="preserve"> </w:t>
      </w:r>
      <w:r w:rsidR="00EF7540" w:rsidRPr="00CE14C5">
        <w:rPr>
          <w:szCs w:val="24"/>
        </w:rPr>
        <w:t>§</w:t>
      </w:r>
      <w:r w:rsidR="00BF13C9" w:rsidRPr="00CE14C5">
        <w:rPr>
          <w:szCs w:val="24"/>
        </w:rPr>
        <w:t xml:space="preserve"> </w:t>
      </w:r>
      <w:r w:rsidR="00EF7540" w:rsidRPr="00CE14C5">
        <w:rPr>
          <w:szCs w:val="24"/>
        </w:rPr>
        <w:t>36.505</w:t>
      </w:r>
      <w:r w:rsidR="00262353" w:rsidRPr="00CE14C5">
        <w:rPr>
          <w:szCs w:val="24"/>
        </w:rPr>
        <w:fldChar w:fldCharType="begin"/>
      </w:r>
      <w:r w:rsidR="00262353" w:rsidRPr="00CE14C5">
        <w:rPr>
          <w:szCs w:val="24"/>
        </w:rPr>
        <w:instrText xml:space="preserve"> TA \l "28 CFR § 36.505" \s "28 CFR § 36.505" \c 2 </w:instrText>
      </w:r>
      <w:r w:rsidR="00262353" w:rsidRPr="00CE14C5">
        <w:rPr>
          <w:szCs w:val="24"/>
        </w:rPr>
        <w:fldChar w:fldCharType="end"/>
      </w:r>
      <w:r w:rsidR="00EF7540" w:rsidRPr="00CE14C5">
        <w:rPr>
          <w:szCs w:val="24"/>
        </w:rPr>
        <w:t>, and the Agreement,</w:t>
      </w:r>
      <w:r w:rsidR="004A66A0" w:rsidRPr="00CE14C5">
        <w:rPr>
          <w:rStyle w:val="FootnoteReference"/>
          <w:szCs w:val="24"/>
        </w:rPr>
        <w:footnoteReference w:id="1"/>
      </w:r>
      <w:r w:rsidR="00EF7540" w:rsidRPr="00CE14C5">
        <w:rPr>
          <w:szCs w:val="24"/>
        </w:rPr>
        <w:t xml:space="preserve"> Plaintiff respectfully move</w:t>
      </w:r>
      <w:r w:rsidR="00074274" w:rsidRPr="00CE14C5">
        <w:rPr>
          <w:szCs w:val="24"/>
        </w:rPr>
        <w:t>s</w:t>
      </w:r>
      <w:r w:rsidR="00EF7540" w:rsidRPr="00CE14C5">
        <w:rPr>
          <w:szCs w:val="24"/>
        </w:rPr>
        <w:t xml:space="preserve"> th</w:t>
      </w:r>
      <w:r w:rsidR="00BE1300" w:rsidRPr="00CE14C5">
        <w:rPr>
          <w:szCs w:val="24"/>
        </w:rPr>
        <w:t>e</w:t>
      </w:r>
      <w:r w:rsidR="00EF7540" w:rsidRPr="00CE14C5">
        <w:rPr>
          <w:szCs w:val="24"/>
        </w:rPr>
        <w:t xml:space="preserve"> Court for an </w:t>
      </w:r>
      <w:r w:rsidR="001C1619" w:rsidRPr="00CE14C5">
        <w:rPr>
          <w:szCs w:val="24"/>
        </w:rPr>
        <w:t>o</w:t>
      </w:r>
      <w:r w:rsidR="00EF7540" w:rsidRPr="00CE14C5">
        <w:rPr>
          <w:szCs w:val="24"/>
        </w:rPr>
        <w:t xml:space="preserve">rder awarding </w:t>
      </w:r>
      <w:r w:rsidR="00F676C1" w:rsidRPr="00CE14C5">
        <w:rPr>
          <w:szCs w:val="24"/>
        </w:rPr>
        <w:t>attorneys</w:t>
      </w:r>
      <w:r w:rsidR="00074274" w:rsidRPr="00CE14C5">
        <w:rPr>
          <w:szCs w:val="24"/>
        </w:rPr>
        <w:t>’</w:t>
      </w:r>
      <w:r w:rsidR="00EF7540" w:rsidRPr="00CE14C5">
        <w:rPr>
          <w:szCs w:val="24"/>
        </w:rPr>
        <w:t xml:space="preserve"> fees in the amount of $</w:t>
      </w:r>
      <w:r w:rsidR="00CE14C5" w:rsidRPr="00CE14C5">
        <w:rPr>
          <w:szCs w:val="24"/>
        </w:rPr>
        <w:t>73</w:t>
      </w:r>
      <w:r w:rsidR="00E258EB" w:rsidRPr="00CE14C5">
        <w:rPr>
          <w:szCs w:val="24"/>
        </w:rPr>
        <w:t>,</w:t>
      </w:r>
      <w:r w:rsidR="00CE14C5" w:rsidRPr="00CE14C5">
        <w:rPr>
          <w:szCs w:val="24"/>
        </w:rPr>
        <w:t>5</w:t>
      </w:r>
      <w:r w:rsidR="006E0383" w:rsidRPr="00CE14C5">
        <w:rPr>
          <w:szCs w:val="24"/>
        </w:rPr>
        <w:t>00</w:t>
      </w:r>
      <w:r w:rsidR="00EF7540" w:rsidRPr="00CE14C5">
        <w:rPr>
          <w:szCs w:val="24"/>
        </w:rPr>
        <w:t xml:space="preserve"> </w:t>
      </w:r>
      <w:r w:rsidR="00CE14C5" w:rsidRPr="00CE14C5">
        <w:rPr>
          <w:szCs w:val="24"/>
        </w:rPr>
        <w:t xml:space="preserve">to Class Counsel </w:t>
      </w:r>
      <w:r w:rsidR="00EF7540" w:rsidRPr="00CE14C5">
        <w:rPr>
          <w:szCs w:val="24"/>
        </w:rPr>
        <w:t>and an incentive award in the amount of $1,</w:t>
      </w:r>
      <w:r w:rsidR="00CE14C5" w:rsidRPr="00CE14C5">
        <w:rPr>
          <w:szCs w:val="24"/>
        </w:rPr>
        <w:t>5</w:t>
      </w:r>
      <w:r w:rsidR="00EF7540" w:rsidRPr="00CE14C5">
        <w:rPr>
          <w:szCs w:val="24"/>
        </w:rPr>
        <w:t>0</w:t>
      </w:r>
      <w:r w:rsidR="00CE14C5" w:rsidRPr="00CE14C5">
        <w:rPr>
          <w:szCs w:val="24"/>
        </w:rPr>
        <w:t>0 to Plaintiff</w:t>
      </w:r>
      <w:r w:rsidR="00EF7540" w:rsidRPr="00CE14C5">
        <w:rPr>
          <w:szCs w:val="24"/>
        </w:rPr>
        <w:t>.</w:t>
      </w:r>
    </w:p>
    <w:p w14:paraId="2631FBED" w14:textId="1E30A87D" w:rsidR="00BE1300" w:rsidRPr="008C6CED" w:rsidRDefault="002504BF" w:rsidP="007A5075">
      <w:pPr>
        <w:spacing w:line="480" w:lineRule="auto"/>
        <w:ind w:firstLine="720"/>
        <w:jc w:val="both"/>
        <w:rPr>
          <w:szCs w:val="24"/>
          <w:highlight w:val="yellow"/>
        </w:rPr>
      </w:pPr>
      <w:r w:rsidRPr="00611D71">
        <w:rPr>
          <w:szCs w:val="24"/>
        </w:rPr>
        <w:t xml:space="preserve">Plaintiff successfully litigated this case </w:t>
      </w:r>
      <w:r w:rsidR="00093940" w:rsidRPr="00611D71">
        <w:rPr>
          <w:szCs w:val="24"/>
        </w:rPr>
        <w:t>against</w:t>
      </w:r>
      <w:r w:rsidR="006E0383" w:rsidRPr="00611D71">
        <w:rPr>
          <w:szCs w:val="24"/>
        </w:rPr>
        <w:t xml:space="preserve"> </w:t>
      </w:r>
      <w:r w:rsidR="00611D71" w:rsidRPr="00611D71">
        <w:rPr>
          <w:szCs w:val="24"/>
        </w:rPr>
        <w:t>Defendant Mondelēz Global LLC</w:t>
      </w:r>
      <w:r w:rsidR="006E0383" w:rsidRPr="00611D71">
        <w:rPr>
          <w:szCs w:val="24"/>
        </w:rPr>
        <w:t xml:space="preserve"> </w:t>
      </w:r>
      <w:r w:rsidR="00093940" w:rsidRPr="00611D71">
        <w:rPr>
          <w:szCs w:val="24"/>
        </w:rPr>
        <w:t xml:space="preserve">for </w:t>
      </w:r>
      <w:r w:rsidR="007A7B33" w:rsidRPr="00611D71">
        <w:rPr>
          <w:szCs w:val="24"/>
        </w:rPr>
        <w:t>alleged violations of</w:t>
      </w:r>
      <w:r w:rsidRPr="00611D71">
        <w:rPr>
          <w:szCs w:val="24"/>
        </w:rPr>
        <w:t xml:space="preserve"> </w:t>
      </w:r>
      <w:r w:rsidR="00BE1300" w:rsidRPr="00611D71">
        <w:rPr>
          <w:szCs w:val="24"/>
        </w:rPr>
        <w:t xml:space="preserve">the </w:t>
      </w:r>
      <w:r w:rsidRPr="00D633DD">
        <w:rPr>
          <w:szCs w:val="24"/>
        </w:rPr>
        <w:t>ADA.</w:t>
      </w:r>
      <w:r w:rsidR="004C47A1" w:rsidRPr="00D633DD">
        <w:rPr>
          <w:szCs w:val="24"/>
        </w:rPr>
        <w:t xml:space="preserve"> </w:t>
      </w:r>
      <w:r w:rsidR="006E0383" w:rsidRPr="00D633DD">
        <w:rPr>
          <w:szCs w:val="24"/>
        </w:rPr>
        <w:t xml:space="preserve">Defendant </w:t>
      </w:r>
      <w:r w:rsidR="007C2398" w:rsidRPr="00D633DD">
        <w:rPr>
          <w:szCs w:val="24"/>
        </w:rPr>
        <w:t xml:space="preserve">has </w:t>
      </w:r>
      <w:r w:rsidR="00607EB9" w:rsidRPr="00D633DD">
        <w:rPr>
          <w:szCs w:val="24"/>
        </w:rPr>
        <w:t>agreed to implement</w:t>
      </w:r>
      <w:r w:rsidR="00400197" w:rsidRPr="00D633DD">
        <w:rPr>
          <w:szCs w:val="24"/>
        </w:rPr>
        <w:t xml:space="preserve"> policies and practices that are</w:t>
      </w:r>
      <w:r w:rsidR="003A7D94" w:rsidRPr="00D633DD">
        <w:rPr>
          <w:iCs/>
          <w:szCs w:val="24"/>
        </w:rPr>
        <w:t xml:space="preserve"> </w:t>
      </w:r>
      <w:r w:rsidR="001E1CBF" w:rsidRPr="00D633DD">
        <w:rPr>
          <w:iCs/>
          <w:szCs w:val="24"/>
        </w:rPr>
        <w:t>similar to, or exceed,</w:t>
      </w:r>
      <w:r w:rsidR="003A7D94" w:rsidRPr="00D633DD">
        <w:rPr>
          <w:iCs/>
          <w:szCs w:val="24"/>
        </w:rPr>
        <w:t xml:space="preserve"> the obligations contained in every settlement resolving digital accessibility claims of which Plaintiff’s </w:t>
      </w:r>
      <w:r w:rsidR="00B51EAA" w:rsidRPr="00D633DD">
        <w:rPr>
          <w:iCs/>
          <w:szCs w:val="24"/>
        </w:rPr>
        <w:t>c</w:t>
      </w:r>
      <w:r w:rsidR="003A7D94" w:rsidRPr="00D633DD">
        <w:rPr>
          <w:iCs/>
          <w:szCs w:val="24"/>
        </w:rPr>
        <w:t>ounsel are aware</w:t>
      </w:r>
      <w:r w:rsidR="002F194B" w:rsidRPr="00D633DD">
        <w:rPr>
          <w:iCs/>
          <w:szCs w:val="24"/>
        </w:rPr>
        <w:t>—</w:t>
      </w:r>
      <w:r w:rsidR="003A7D94" w:rsidRPr="00D633DD">
        <w:rPr>
          <w:iCs/>
          <w:szCs w:val="24"/>
        </w:rPr>
        <w:t xml:space="preserve">including the agreements </w:t>
      </w:r>
      <w:r w:rsidR="002A56BA" w:rsidRPr="00D633DD">
        <w:rPr>
          <w:szCs w:val="24"/>
        </w:rPr>
        <w:t>finally</w:t>
      </w:r>
      <w:r w:rsidR="003A7D94" w:rsidRPr="00D633DD">
        <w:rPr>
          <w:szCs w:val="24"/>
        </w:rPr>
        <w:t xml:space="preserve"> approved in </w:t>
      </w:r>
      <w:r w:rsidR="00806514" w:rsidRPr="001343DE">
        <w:rPr>
          <w:i/>
          <w:iCs/>
          <w:szCs w:val="24"/>
        </w:rPr>
        <w:t>Murphy v. Eyebobs, LLC</w:t>
      </w:r>
      <w:r w:rsidR="00806514" w:rsidRPr="001343DE">
        <w:rPr>
          <w:szCs w:val="24"/>
        </w:rPr>
        <w:t>, No. 1:21-cv-00017, Doc. 49 (W.D. Pa. Feb. 9, 2022) (“</w:t>
      </w:r>
      <w:r w:rsidR="00806514" w:rsidRPr="001343DE">
        <w:rPr>
          <w:i/>
          <w:iCs/>
          <w:szCs w:val="24"/>
        </w:rPr>
        <w:t>Eyebobs</w:t>
      </w:r>
      <w:r w:rsidR="00806514" w:rsidRPr="001343DE">
        <w:rPr>
          <w:szCs w:val="24"/>
        </w:rPr>
        <w:t xml:space="preserve">”), </w:t>
      </w:r>
      <w:r w:rsidR="00806514" w:rsidRPr="001343DE">
        <w:rPr>
          <w:i/>
          <w:iCs/>
          <w:szCs w:val="24"/>
        </w:rPr>
        <w:t>Murphy v. Charles Tyrwhitt, Inc.</w:t>
      </w:r>
      <w:r w:rsidR="00806514" w:rsidRPr="001343DE">
        <w:rPr>
          <w:szCs w:val="24"/>
        </w:rPr>
        <w:t>, No. 1:20-cv-00056, Doc. 47 (W.D. Pa. Feb. 16, 2022) (“</w:t>
      </w:r>
      <w:r w:rsidR="00806514" w:rsidRPr="001343DE">
        <w:rPr>
          <w:i/>
          <w:iCs/>
          <w:szCs w:val="24"/>
        </w:rPr>
        <w:t>Charles Tyrwhitt</w:t>
      </w:r>
      <w:r w:rsidR="00806514" w:rsidRPr="007B51BD">
        <w:rPr>
          <w:szCs w:val="24"/>
        </w:rPr>
        <w:t xml:space="preserve">”), </w:t>
      </w:r>
      <w:r w:rsidR="00E02A6A" w:rsidRPr="007B51BD">
        <w:rPr>
          <w:i/>
          <w:iCs/>
          <w:szCs w:val="24"/>
        </w:rPr>
        <w:t>Giannaros v. Poly-Wood, LLC</w:t>
      </w:r>
      <w:r w:rsidR="00E02A6A" w:rsidRPr="007B51BD">
        <w:rPr>
          <w:szCs w:val="24"/>
        </w:rPr>
        <w:t>, No. 1:21-cv-10351, Doc. 45 (D. Mass. Oct. 27, 2022) (“</w:t>
      </w:r>
      <w:r w:rsidR="00E02A6A" w:rsidRPr="007B51BD">
        <w:rPr>
          <w:i/>
          <w:iCs/>
          <w:szCs w:val="24"/>
        </w:rPr>
        <w:t>Poly-Wood</w:t>
      </w:r>
      <w:r w:rsidR="00E02A6A" w:rsidRPr="007B51BD">
        <w:rPr>
          <w:szCs w:val="24"/>
        </w:rPr>
        <w:t xml:space="preserve">”), </w:t>
      </w:r>
      <w:r w:rsidR="00806514" w:rsidRPr="007B51BD">
        <w:rPr>
          <w:i/>
          <w:iCs/>
          <w:szCs w:val="24"/>
        </w:rPr>
        <w:t>Murphy v. The Hundreds Is Huge, Inc.</w:t>
      </w:r>
      <w:r w:rsidR="00806514" w:rsidRPr="007B51BD">
        <w:rPr>
          <w:szCs w:val="24"/>
        </w:rPr>
        <w:t>, No. 1:21-cv-00204, Doc. 41 (W.D. Pa. Nov. 17, 2022)</w:t>
      </w:r>
      <w:r w:rsidR="00BF7F8C" w:rsidRPr="007B51BD">
        <w:rPr>
          <w:szCs w:val="24"/>
        </w:rPr>
        <w:t xml:space="preserve"> (“</w:t>
      </w:r>
      <w:r w:rsidR="00BF7F8C" w:rsidRPr="007B51BD">
        <w:rPr>
          <w:i/>
          <w:iCs/>
          <w:szCs w:val="24"/>
        </w:rPr>
        <w:t>The Hundreds</w:t>
      </w:r>
      <w:r w:rsidR="00BF7F8C" w:rsidRPr="007B51BD">
        <w:rPr>
          <w:szCs w:val="24"/>
        </w:rPr>
        <w:t>”</w:t>
      </w:r>
      <w:r w:rsidR="00BF7F8C" w:rsidRPr="002C52F0">
        <w:rPr>
          <w:szCs w:val="24"/>
        </w:rPr>
        <w:t>)</w:t>
      </w:r>
      <w:r w:rsidR="00DE6703" w:rsidRPr="002C52F0">
        <w:rPr>
          <w:szCs w:val="24"/>
        </w:rPr>
        <w:t>,</w:t>
      </w:r>
      <w:r w:rsidR="007C2398" w:rsidRPr="002C52F0">
        <w:rPr>
          <w:szCs w:val="24"/>
        </w:rPr>
        <w:t xml:space="preserve"> and</w:t>
      </w:r>
      <w:r w:rsidR="00DE6703" w:rsidRPr="002C52F0">
        <w:rPr>
          <w:szCs w:val="24"/>
        </w:rPr>
        <w:t xml:space="preserve"> </w:t>
      </w:r>
      <w:r w:rsidR="00DE6703" w:rsidRPr="002C52F0">
        <w:rPr>
          <w:i/>
          <w:iCs/>
          <w:szCs w:val="24"/>
        </w:rPr>
        <w:t>Douglass v. Optavia LLC</w:t>
      </w:r>
      <w:r w:rsidR="00DE6703" w:rsidRPr="002C52F0">
        <w:rPr>
          <w:szCs w:val="24"/>
        </w:rPr>
        <w:t>, No. 2:22-cv-00594, Doc. 38 (W.D. Pa. J</w:t>
      </w:r>
      <w:r w:rsidR="00DE6703" w:rsidRPr="0091176A">
        <w:rPr>
          <w:szCs w:val="24"/>
        </w:rPr>
        <w:t>an. 23, 2023)</w:t>
      </w:r>
      <w:r w:rsidR="0091176A">
        <w:rPr>
          <w:szCs w:val="24"/>
        </w:rPr>
        <w:t xml:space="preserve"> (“</w:t>
      </w:r>
      <w:r w:rsidR="0091176A" w:rsidRPr="0091176A">
        <w:rPr>
          <w:i/>
          <w:iCs/>
          <w:szCs w:val="24"/>
        </w:rPr>
        <w:t>Optavia</w:t>
      </w:r>
      <w:r w:rsidR="0091176A">
        <w:rPr>
          <w:szCs w:val="24"/>
        </w:rPr>
        <w:t>”)</w:t>
      </w:r>
      <w:r w:rsidR="00DE6703" w:rsidRPr="0091176A">
        <w:rPr>
          <w:szCs w:val="24"/>
        </w:rPr>
        <w:t xml:space="preserve">, and preliminarily approved in </w:t>
      </w:r>
      <w:r w:rsidR="00165CDE" w:rsidRPr="00EF4ED2">
        <w:rPr>
          <w:i/>
          <w:iCs/>
          <w:szCs w:val="24"/>
        </w:rPr>
        <w:t>Murphy v. Le Sportsac, Inc.</w:t>
      </w:r>
      <w:r w:rsidR="00165CDE" w:rsidRPr="00EF4ED2">
        <w:rPr>
          <w:szCs w:val="24"/>
        </w:rPr>
        <w:t>, No. 1:22-cv-00058, Doc. 45 (W.D. Pa. Jan. 24, 2023) (“</w:t>
      </w:r>
      <w:r w:rsidR="00165CDE" w:rsidRPr="00EF4ED2">
        <w:rPr>
          <w:i/>
          <w:iCs/>
          <w:szCs w:val="24"/>
        </w:rPr>
        <w:t>Le Sportsac</w:t>
      </w:r>
      <w:r w:rsidR="00165CDE" w:rsidRPr="00EF4ED2">
        <w:rPr>
          <w:szCs w:val="24"/>
        </w:rPr>
        <w:t>”</w:t>
      </w:r>
      <w:r w:rsidR="00165CDE" w:rsidRPr="0091176A">
        <w:rPr>
          <w:szCs w:val="24"/>
        </w:rPr>
        <w:t>)</w:t>
      </w:r>
      <w:r w:rsidR="00165CDE">
        <w:rPr>
          <w:szCs w:val="24"/>
        </w:rPr>
        <w:t xml:space="preserve"> and </w:t>
      </w:r>
      <w:r w:rsidR="00DE6703" w:rsidRPr="0091176A">
        <w:rPr>
          <w:i/>
          <w:iCs/>
          <w:szCs w:val="24"/>
        </w:rPr>
        <w:t>Douglass v.</w:t>
      </w:r>
      <w:r w:rsidR="00DE6703" w:rsidRPr="0091176A">
        <w:rPr>
          <w:szCs w:val="24"/>
        </w:rPr>
        <w:t xml:space="preserve"> </w:t>
      </w:r>
      <w:r w:rsidR="00DE6703" w:rsidRPr="0091176A">
        <w:rPr>
          <w:i/>
          <w:iCs/>
          <w:szCs w:val="24"/>
        </w:rPr>
        <w:t>P.C. Richard &amp; Son, LLC</w:t>
      </w:r>
      <w:r w:rsidR="00DE6703" w:rsidRPr="0091176A">
        <w:rPr>
          <w:szCs w:val="24"/>
        </w:rPr>
        <w:t>, No. 2:22-cv-00399, Doc. 46 (W.D. Pa. Mar. 16, 2023)</w:t>
      </w:r>
      <w:r w:rsidR="0091176A">
        <w:rPr>
          <w:szCs w:val="24"/>
        </w:rPr>
        <w:t xml:space="preserve"> (“</w:t>
      </w:r>
      <w:r w:rsidR="0091176A" w:rsidRPr="0091176A">
        <w:rPr>
          <w:i/>
          <w:iCs/>
          <w:szCs w:val="24"/>
        </w:rPr>
        <w:t>P.C</w:t>
      </w:r>
      <w:r w:rsidR="0091176A" w:rsidRPr="008B099D">
        <w:rPr>
          <w:i/>
          <w:iCs/>
          <w:szCs w:val="24"/>
        </w:rPr>
        <w:t>. Richard</w:t>
      </w:r>
      <w:r w:rsidR="0091176A" w:rsidRPr="008B099D">
        <w:rPr>
          <w:szCs w:val="24"/>
        </w:rPr>
        <w:t>”)</w:t>
      </w:r>
      <w:r w:rsidR="00400197" w:rsidRPr="008B099D">
        <w:rPr>
          <w:szCs w:val="24"/>
        </w:rPr>
        <w:t xml:space="preserve">. </w:t>
      </w:r>
      <w:r w:rsidR="00F8794E" w:rsidRPr="008B099D">
        <w:rPr>
          <w:szCs w:val="24"/>
        </w:rPr>
        <w:t xml:space="preserve">As a result of </w:t>
      </w:r>
      <w:r w:rsidR="00BE1300" w:rsidRPr="008B099D">
        <w:rPr>
          <w:szCs w:val="24"/>
        </w:rPr>
        <w:t xml:space="preserve">these </w:t>
      </w:r>
      <w:r w:rsidR="001E1CBF" w:rsidRPr="008B099D">
        <w:rPr>
          <w:szCs w:val="24"/>
        </w:rPr>
        <w:t>binding commitments</w:t>
      </w:r>
      <w:r w:rsidR="00F8794E" w:rsidRPr="008B099D">
        <w:rPr>
          <w:szCs w:val="24"/>
        </w:rPr>
        <w:t xml:space="preserve">, </w:t>
      </w:r>
      <w:r w:rsidR="002A3AF2" w:rsidRPr="008B099D">
        <w:rPr>
          <w:szCs w:val="24"/>
        </w:rPr>
        <w:t xml:space="preserve">the </w:t>
      </w:r>
      <w:r w:rsidR="00FC5137" w:rsidRPr="008B099D">
        <w:rPr>
          <w:szCs w:val="24"/>
        </w:rPr>
        <w:t xml:space="preserve">Settlement </w:t>
      </w:r>
      <w:r w:rsidR="002A3AF2" w:rsidRPr="008B099D">
        <w:rPr>
          <w:szCs w:val="24"/>
        </w:rPr>
        <w:t xml:space="preserve">Class Members will be able to </w:t>
      </w:r>
      <w:r w:rsidR="00A329BB">
        <w:rPr>
          <w:szCs w:val="24"/>
        </w:rPr>
        <w:t>access</w:t>
      </w:r>
      <w:r w:rsidR="002A3AF2" w:rsidRPr="008B099D">
        <w:rPr>
          <w:szCs w:val="24"/>
        </w:rPr>
        <w:t xml:space="preserve"> </w:t>
      </w:r>
      <w:r w:rsidR="003A7D94" w:rsidRPr="008B099D">
        <w:rPr>
          <w:szCs w:val="24"/>
        </w:rPr>
        <w:t>Defendant’s</w:t>
      </w:r>
      <w:r w:rsidR="00BE1300" w:rsidRPr="008B099D">
        <w:rPr>
          <w:szCs w:val="24"/>
        </w:rPr>
        <w:t xml:space="preserve"> </w:t>
      </w:r>
      <w:r w:rsidR="002A3AF2" w:rsidRPr="008B099D">
        <w:rPr>
          <w:szCs w:val="24"/>
        </w:rPr>
        <w:t>online store</w:t>
      </w:r>
      <w:r w:rsidR="008B099D" w:rsidRPr="008B099D">
        <w:rPr>
          <w:szCs w:val="24"/>
        </w:rPr>
        <w:t>s</w:t>
      </w:r>
      <w:r w:rsidR="002A3AF2" w:rsidRPr="008B099D">
        <w:rPr>
          <w:szCs w:val="24"/>
        </w:rPr>
        <w:t xml:space="preserve">, which </w:t>
      </w:r>
      <w:r w:rsidR="00716881" w:rsidRPr="008B099D">
        <w:rPr>
          <w:szCs w:val="24"/>
        </w:rPr>
        <w:t xml:space="preserve">Plaintiff </w:t>
      </w:r>
      <w:r w:rsidR="002A3AF2" w:rsidRPr="008B099D">
        <w:rPr>
          <w:szCs w:val="24"/>
        </w:rPr>
        <w:t>allege</w:t>
      </w:r>
      <w:r w:rsidR="00074274" w:rsidRPr="008B099D">
        <w:rPr>
          <w:szCs w:val="24"/>
        </w:rPr>
        <w:t>s</w:t>
      </w:r>
      <w:r w:rsidR="002A3AF2" w:rsidRPr="008B099D">
        <w:rPr>
          <w:szCs w:val="24"/>
        </w:rPr>
        <w:t xml:space="preserve"> w</w:t>
      </w:r>
      <w:r w:rsidR="008B099D" w:rsidRPr="008B099D">
        <w:rPr>
          <w:szCs w:val="24"/>
        </w:rPr>
        <w:t>ere</w:t>
      </w:r>
      <w:r w:rsidR="002A3AF2" w:rsidRPr="008B099D">
        <w:rPr>
          <w:szCs w:val="24"/>
        </w:rPr>
        <w:t xml:space="preserve"> not </w:t>
      </w:r>
      <w:r w:rsidR="00437872" w:rsidRPr="008B099D">
        <w:rPr>
          <w:szCs w:val="24"/>
        </w:rPr>
        <w:t xml:space="preserve">equally available to </w:t>
      </w:r>
      <w:r w:rsidR="00716881" w:rsidRPr="008B099D">
        <w:rPr>
          <w:szCs w:val="24"/>
        </w:rPr>
        <w:t>the</w:t>
      </w:r>
      <w:r w:rsidR="00BF7F8C" w:rsidRPr="008B099D">
        <w:rPr>
          <w:szCs w:val="24"/>
        </w:rPr>
        <w:t xml:space="preserve">m </w:t>
      </w:r>
      <w:r w:rsidR="003A7D94" w:rsidRPr="008B099D">
        <w:rPr>
          <w:szCs w:val="24"/>
        </w:rPr>
        <w:t xml:space="preserve">when he commenced </w:t>
      </w:r>
      <w:r w:rsidR="0021145D" w:rsidRPr="008B099D">
        <w:rPr>
          <w:szCs w:val="24"/>
        </w:rPr>
        <w:t xml:space="preserve">this </w:t>
      </w:r>
      <w:r w:rsidR="003A7D94" w:rsidRPr="008B099D">
        <w:rPr>
          <w:szCs w:val="24"/>
        </w:rPr>
        <w:t>litigation</w:t>
      </w:r>
      <w:r w:rsidR="002A3AF2" w:rsidRPr="008B099D">
        <w:rPr>
          <w:szCs w:val="24"/>
        </w:rPr>
        <w:t>.</w:t>
      </w:r>
    </w:p>
    <w:p w14:paraId="0820731C" w14:textId="7FC3B3A0" w:rsidR="0002726A" w:rsidRPr="00AC2AB7" w:rsidRDefault="002A3AF2" w:rsidP="007A5075">
      <w:pPr>
        <w:spacing w:line="480" w:lineRule="auto"/>
        <w:ind w:firstLine="720"/>
        <w:jc w:val="both"/>
        <w:rPr>
          <w:szCs w:val="24"/>
        </w:rPr>
      </w:pPr>
      <w:r w:rsidRPr="00AC2AB7">
        <w:rPr>
          <w:szCs w:val="24"/>
        </w:rPr>
        <w:lastRenderedPageBreak/>
        <w:t>Plaintiff’</w:t>
      </w:r>
      <w:r w:rsidR="00074274" w:rsidRPr="00AC2AB7">
        <w:rPr>
          <w:szCs w:val="24"/>
        </w:rPr>
        <w:t>s</w:t>
      </w:r>
      <w:r w:rsidRPr="00AC2AB7">
        <w:rPr>
          <w:szCs w:val="24"/>
        </w:rPr>
        <w:t xml:space="preserve"> request for fees and an incentive award is reasonable </w:t>
      </w:r>
      <w:r w:rsidR="00BE1300" w:rsidRPr="00AC2AB7">
        <w:rPr>
          <w:szCs w:val="24"/>
        </w:rPr>
        <w:t>for the following reasons</w:t>
      </w:r>
      <w:r w:rsidRPr="00AC2AB7">
        <w:rPr>
          <w:szCs w:val="24"/>
        </w:rPr>
        <w:t>:</w:t>
      </w:r>
    </w:p>
    <w:p w14:paraId="796A20E8" w14:textId="7919C7D5" w:rsidR="002A3AF2" w:rsidRPr="00624915" w:rsidRDefault="002A3AF2" w:rsidP="007A5075">
      <w:pPr>
        <w:pStyle w:val="ListParagraph"/>
        <w:numPr>
          <w:ilvl w:val="0"/>
          <w:numId w:val="5"/>
        </w:numPr>
        <w:spacing w:after="240"/>
        <w:ind w:hanging="720"/>
        <w:contextualSpacing w:val="0"/>
        <w:jc w:val="both"/>
        <w:rPr>
          <w:szCs w:val="24"/>
        </w:rPr>
      </w:pPr>
      <w:r w:rsidRPr="00AC2AB7">
        <w:rPr>
          <w:szCs w:val="24"/>
        </w:rPr>
        <w:t xml:space="preserve">This is an excellent settlement providing </w:t>
      </w:r>
      <w:r w:rsidR="00F44872" w:rsidRPr="00AC2AB7">
        <w:rPr>
          <w:szCs w:val="24"/>
        </w:rPr>
        <w:t xml:space="preserve">benefits comparable to those obtained by </w:t>
      </w:r>
      <w:r w:rsidR="00A369D2" w:rsidRPr="00AC2AB7">
        <w:rPr>
          <w:szCs w:val="24"/>
        </w:rPr>
        <w:t xml:space="preserve">the </w:t>
      </w:r>
      <w:r w:rsidR="00F44872" w:rsidRPr="00AC2AB7">
        <w:rPr>
          <w:szCs w:val="24"/>
        </w:rPr>
        <w:t>D</w:t>
      </w:r>
      <w:r w:rsidR="00A369D2" w:rsidRPr="00AC2AB7">
        <w:rPr>
          <w:szCs w:val="24"/>
        </w:rPr>
        <w:t xml:space="preserve">epartment of </w:t>
      </w:r>
      <w:r w:rsidR="00F44872" w:rsidRPr="00AC2AB7">
        <w:rPr>
          <w:szCs w:val="24"/>
        </w:rPr>
        <w:t>J</w:t>
      </w:r>
      <w:r w:rsidR="00A369D2" w:rsidRPr="00AC2AB7">
        <w:rPr>
          <w:szCs w:val="24"/>
        </w:rPr>
        <w:t>ustice</w:t>
      </w:r>
      <w:r w:rsidR="00F44872" w:rsidRPr="00AC2AB7">
        <w:rPr>
          <w:szCs w:val="24"/>
        </w:rPr>
        <w:t xml:space="preserve"> and N</w:t>
      </w:r>
      <w:r w:rsidR="00A369D2" w:rsidRPr="00AC2AB7">
        <w:rPr>
          <w:szCs w:val="24"/>
        </w:rPr>
        <w:t xml:space="preserve">ational </w:t>
      </w:r>
      <w:r w:rsidR="00F44872" w:rsidRPr="00AC2AB7">
        <w:rPr>
          <w:szCs w:val="24"/>
        </w:rPr>
        <w:t>F</w:t>
      </w:r>
      <w:r w:rsidR="00A369D2" w:rsidRPr="00AC2AB7">
        <w:rPr>
          <w:szCs w:val="24"/>
        </w:rPr>
        <w:t xml:space="preserve">ederation of the </w:t>
      </w:r>
      <w:r w:rsidR="00F44872" w:rsidRPr="00AC2AB7">
        <w:rPr>
          <w:szCs w:val="24"/>
        </w:rPr>
        <w:t>B</w:t>
      </w:r>
      <w:r w:rsidR="00A369D2" w:rsidRPr="00AC2AB7">
        <w:rPr>
          <w:szCs w:val="24"/>
        </w:rPr>
        <w:t>lin</w:t>
      </w:r>
      <w:r w:rsidR="00DB6CBC" w:rsidRPr="00AC2AB7">
        <w:rPr>
          <w:szCs w:val="24"/>
        </w:rPr>
        <w:t>d</w:t>
      </w:r>
      <w:r w:rsidR="00F44872" w:rsidRPr="00AC2AB7">
        <w:rPr>
          <w:szCs w:val="24"/>
        </w:rPr>
        <w:t xml:space="preserve"> in other landmark proceedings</w:t>
      </w:r>
      <w:r w:rsidR="005F1E19" w:rsidRPr="00AC2AB7">
        <w:rPr>
          <w:szCs w:val="24"/>
        </w:rPr>
        <w:t xml:space="preserve"> expanding </w:t>
      </w:r>
      <w:r w:rsidR="002D0D4E" w:rsidRPr="00AC2AB7">
        <w:rPr>
          <w:szCs w:val="24"/>
        </w:rPr>
        <w:t xml:space="preserve">access </w:t>
      </w:r>
      <w:r w:rsidR="005F1E19" w:rsidRPr="00AC2AB7">
        <w:rPr>
          <w:szCs w:val="24"/>
        </w:rPr>
        <w:t xml:space="preserve">to </w:t>
      </w:r>
      <w:r w:rsidR="002D0D4E" w:rsidRPr="00AC2AB7">
        <w:rPr>
          <w:szCs w:val="24"/>
        </w:rPr>
        <w:t>ecommerce</w:t>
      </w:r>
      <w:r w:rsidR="00BE1300" w:rsidRPr="00AC2AB7">
        <w:rPr>
          <w:szCs w:val="24"/>
        </w:rPr>
        <w:t xml:space="preserve"> to individuals with disabilities</w:t>
      </w:r>
      <w:r w:rsidR="003A7D94" w:rsidRPr="00AC2AB7">
        <w:rPr>
          <w:szCs w:val="24"/>
        </w:rPr>
        <w:t xml:space="preserve">, and by private plaintiffs in </w:t>
      </w:r>
      <w:r w:rsidR="003A7D94" w:rsidRPr="00AC2AB7">
        <w:rPr>
          <w:i/>
          <w:szCs w:val="24"/>
        </w:rPr>
        <w:t>Eyebobs</w:t>
      </w:r>
      <w:r w:rsidR="003A7D94" w:rsidRPr="00AC2AB7">
        <w:rPr>
          <w:iCs/>
          <w:szCs w:val="24"/>
        </w:rPr>
        <w:t xml:space="preserve">, </w:t>
      </w:r>
      <w:r w:rsidR="003A7D94" w:rsidRPr="00AC2AB7">
        <w:rPr>
          <w:i/>
          <w:szCs w:val="24"/>
        </w:rPr>
        <w:t>Charles Tyrwhitt</w:t>
      </w:r>
      <w:r w:rsidR="003A7D94" w:rsidRPr="00AC2AB7">
        <w:rPr>
          <w:iCs/>
          <w:szCs w:val="24"/>
        </w:rPr>
        <w:t xml:space="preserve">, </w:t>
      </w:r>
      <w:r w:rsidR="00DB6CBC" w:rsidRPr="00AC2AB7">
        <w:rPr>
          <w:i/>
          <w:szCs w:val="24"/>
        </w:rPr>
        <w:t>Poly-Wood</w:t>
      </w:r>
      <w:r w:rsidR="003A7D94" w:rsidRPr="00AC2AB7">
        <w:rPr>
          <w:iCs/>
          <w:szCs w:val="24"/>
        </w:rPr>
        <w:t xml:space="preserve">, </w:t>
      </w:r>
      <w:r w:rsidR="00DB6CBC" w:rsidRPr="00AC2AB7">
        <w:rPr>
          <w:i/>
          <w:szCs w:val="24"/>
        </w:rPr>
        <w:t>The Hundreds</w:t>
      </w:r>
      <w:r w:rsidR="00DE6703" w:rsidRPr="00AC2AB7">
        <w:rPr>
          <w:i/>
          <w:szCs w:val="24"/>
        </w:rPr>
        <w:t xml:space="preserve">, </w:t>
      </w:r>
      <w:r w:rsidR="00DE6703" w:rsidRPr="00624915">
        <w:rPr>
          <w:i/>
          <w:szCs w:val="24"/>
        </w:rPr>
        <w:t>Optavia</w:t>
      </w:r>
      <w:r w:rsidR="007204E5" w:rsidRPr="00624915">
        <w:rPr>
          <w:iCs/>
          <w:szCs w:val="24"/>
        </w:rPr>
        <w:t xml:space="preserve">, </w:t>
      </w:r>
      <w:r w:rsidR="007204E5" w:rsidRPr="00624915">
        <w:rPr>
          <w:i/>
          <w:szCs w:val="24"/>
        </w:rPr>
        <w:t>P.C. Richard</w:t>
      </w:r>
      <w:r w:rsidR="0042421A" w:rsidRPr="00624915">
        <w:rPr>
          <w:iCs/>
          <w:szCs w:val="24"/>
        </w:rPr>
        <w:t xml:space="preserve">, and </w:t>
      </w:r>
      <w:r w:rsidR="00AC2AB7" w:rsidRPr="00624915">
        <w:rPr>
          <w:i/>
          <w:szCs w:val="24"/>
        </w:rPr>
        <w:t>Le Sportsac</w:t>
      </w:r>
      <w:r w:rsidR="00F44872" w:rsidRPr="00624915">
        <w:rPr>
          <w:szCs w:val="24"/>
        </w:rPr>
        <w:t>;</w:t>
      </w:r>
    </w:p>
    <w:p w14:paraId="15B1A6D7" w14:textId="79E9DC1B" w:rsidR="00F44872" w:rsidRPr="00DF73E3" w:rsidRDefault="00E37308" w:rsidP="007A5075">
      <w:pPr>
        <w:pStyle w:val="ListParagraph"/>
        <w:numPr>
          <w:ilvl w:val="0"/>
          <w:numId w:val="5"/>
        </w:numPr>
        <w:spacing w:after="240"/>
        <w:ind w:hanging="720"/>
        <w:contextualSpacing w:val="0"/>
        <w:jc w:val="both"/>
        <w:rPr>
          <w:szCs w:val="24"/>
        </w:rPr>
      </w:pPr>
      <w:r w:rsidRPr="00DF73E3">
        <w:rPr>
          <w:szCs w:val="24"/>
        </w:rPr>
        <w:t>The</w:t>
      </w:r>
      <w:r w:rsidR="00C3124F" w:rsidRPr="00DF73E3">
        <w:rPr>
          <w:szCs w:val="24"/>
        </w:rPr>
        <w:t xml:space="preserve"> request for $</w:t>
      </w:r>
      <w:r w:rsidR="00624915" w:rsidRPr="00DF73E3">
        <w:rPr>
          <w:szCs w:val="24"/>
        </w:rPr>
        <w:t>73</w:t>
      </w:r>
      <w:r w:rsidR="00531BFF" w:rsidRPr="00DF73E3">
        <w:rPr>
          <w:szCs w:val="24"/>
        </w:rPr>
        <w:t>,</w:t>
      </w:r>
      <w:r w:rsidR="00624915" w:rsidRPr="00DF73E3">
        <w:rPr>
          <w:szCs w:val="24"/>
        </w:rPr>
        <w:t>5</w:t>
      </w:r>
      <w:r w:rsidR="003A7D94" w:rsidRPr="00DF73E3">
        <w:rPr>
          <w:szCs w:val="24"/>
        </w:rPr>
        <w:t>00.00</w:t>
      </w:r>
      <w:r w:rsidR="00C3124F" w:rsidRPr="00DF73E3">
        <w:rPr>
          <w:szCs w:val="24"/>
        </w:rPr>
        <w:t xml:space="preserve"> in fees and a</w:t>
      </w:r>
      <w:r w:rsidR="001E1CBF" w:rsidRPr="00DF73E3">
        <w:rPr>
          <w:szCs w:val="24"/>
        </w:rPr>
        <w:t xml:space="preserve"> $1,</w:t>
      </w:r>
      <w:r w:rsidR="00624915" w:rsidRPr="00DF73E3">
        <w:rPr>
          <w:szCs w:val="24"/>
        </w:rPr>
        <w:t>5</w:t>
      </w:r>
      <w:r w:rsidR="001E1CBF" w:rsidRPr="00DF73E3">
        <w:rPr>
          <w:szCs w:val="24"/>
        </w:rPr>
        <w:t>00.00</w:t>
      </w:r>
      <w:r w:rsidR="00C3124F" w:rsidRPr="00DF73E3">
        <w:rPr>
          <w:szCs w:val="24"/>
        </w:rPr>
        <w:t xml:space="preserve"> incentive award for </w:t>
      </w:r>
      <w:r w:rsidR="002D0D4E" w:rsidRPr="00DF73E3">
        <w:rPr>
          <w:szCs w:val="24"/>
        </w:rPr>
        <w:t>Plaintiff</w:t>
      </w:r>
      <w:r w:rsidR="00C3124F" w:rsidRPr="00DF73E3">
        <w:rPr>
          <w:szCs w:val="24"/>
        </w:rPr>
        <w:t xml:space="preserve"> did not compromise </w:t>
      </w:r>
      <w:r w:rsidR="001E1CBF" w:rsidRPr="00DF73E3">
        <w:rPr>
          <w:szCs w:val="24"/>
        </w:rPr>
        <w:t xml:space="preserve">Defendant’s </w:t>
      </w:r>
      <w:r w:rsidRPr="00DF73E3">
        <w:rPr>
          <w:szCs w:val="24"/>
        </w:rPr>
        <w:t xml:space="preserve">remedial </w:t>
      </w:r>
      <w:r w:rsidR="001E1CBF" w:rsidRPr="00DF73E3">
        <w:rPr>
          <w:szCs w:val="24"/>
        </w:rPr>
        <w:t xml:space="preserve">obligations under </w:t>
      </w:r>
      <w:r w:rsidR="00C3124F" w:rsidRPr="00DF73E3">
        <w:rPr>
          <w:szCs w:val="24"/>
        </w:rPr>
        <w:t>the Agreement;</w:t>
      </w:r>
    </w:p>
    <w:p w14:paraId="6DA0552C" w14:textId="344EB1BD" w:rsidR="00C3124F" w:rsidRPr="009156F2" w:rsidRDefault="00C3124F" w:rsidP="007A5075">
      <w:pPr>
        <w:pStyle w:val="ListParagraph"/>
        <w:numPr>
          <w:ilvl w:val="0"/>
          <w:numId w:val="5"/>
        </w:numPr>
        <w:spacing w:after="240"/>
        <w:ind w:hanging="720"/>
        <w:contextualSpacing w:val="0"/>
        <w:jc w:val="both"/>
        <w:rPr>
          <w:szCs w:val="24"/>
        </w:rPr>
      </w:pPr>
      <w:r w:rsidRPr="00DF73E3">
        <w:rPr>
          <w:szCs w:val="24"/>
        </w:rPr>
        <w:t xml:space="preserve">The Agreement obligates Class Counsel to oversee </w:t>
      </w:r>
      <w:r w:rsidR="003A7D94" w:rsidRPr="00DF73E3">
        <w:rPr>
          <w:szCs w:val="24"/>
        </w:rPr>
        <w:t>Defendant’s</w:t>
      </w:r>
      <w:r w:rsidR="00BE1300" w:rsidRPr="00DF73E3">
        <w:rPr>
          <w:szCs w:val="24"/>
        </w:rPr>
        <w:t xml:space="preserve"> </w:t>
      </w:r>
      <w:r w:rsidRPr="00DF73E3">
        <w:rPr>
          <w:szCs w:val="24"/>
        </w:rPr>
        <w:t xml:space="preserve">compliance and to </w:t>
      </w:r>
      <w:r w:rsidRPr="009156F2">
        <w:rPr>
          <w:szCs w:val="24"/>
        </w:rPr>
        <w:t xml:space="preserve">assist </w:t>
      </w:r>
      <w:r w:rsidR="00BE1300" w:rsidRPr="009156F2">
        <w:rPr>
          <w:szCs w:val="24"/>
        </w:rPr>
        <w:t xml:space="preserve">Settlement </w:t>
      </w:r>
      <w:r w:rsidRPr="009156F2">
        <w:rPr>
          <w:szCs w:val="24"/>
        </w:rPr>
        <w:t xml:space="preserve">Class Members who encounter </w:t>
      </w:r>
      <w:r w:rsidR="005F1E19" w:rsidRPr="009156F2">
        <w:rPr>
          <w:szCs w:val="24"/>
        </w:rPr>
        <w:t xml:space="preserve">barriers </w:t>
      </w:r>
      <w:r w:rsidR="002D0D4E" w:rsidRPr="009156F2">
        <w:rPr>
          <w:szCs w:val="24"/>
        </w:rPr>
        <w:t>during remediation</w:t>
      </w:r>
      <w:r w:rsidR="005F1E19" w:rsidRPr="009156F2">
        <w:rPr>
          <w:szCs w:val="24"/>
        </w:rPr>
        <w:t>;</w:t>
      </w:r>
    </w:p>
    <w:p w14:paraId="5A80A77D" w14:textId="72AE5B8D" w:rsidR="005F1E19" w:rsidRPr="00C34362" w:rsidRDefault="005F1E19" w:rsidP="007A5075">
      <w:pPr>
        <w:pStyle w:val="ListParagraph"/>
        <w:numPr>
          <w:ilvl w:val="0"/>
          <w:numId w:val="5"/>
        </w:numPr>
        <w:spacing w:after="240"/>
        <w:ind w:hanging="720"/>
        <w:contextualSpacing w:val="0"/>
        <w:jc w:val="both"/>
        <w:rPr>
          <w:szCs w:val="24"/>
        </w:rPr>
      </w:pPr>
      <w:r w:rsidRPr="009156F2">
        <w:rPr>
          <w:szCs w:val="24"/>
        </w:rPr>
        <w:t xml:space="preserve">The Agreement was reached after </w:t>
      </w:r>
      <w:r w:rsidR="00DF73E3" w:rsidRPr="009156F2">
        <w:rPr>
          <w:szCs w:val="24"/>
        </w:rPr>
        <w:t>year</w:t>
      </w:r>
      <w:r w:rsidRPr="009156F2">
        <w:rPr>
          <w:szCs w:val="24"/>
        </w:rPr>
        <w:t xml:space="preserve">s of negotiations, during which </w:t>
      </w:r>
      <w:r w:rsidR="003A7D94" w:rsidRPr="009156F2">
        <w:rPr>
          <w:szCs w:val="24"/>
        </w:rPr>
        <w:t xml:space="preserve">attorneys </w:t>
      </w:r>
      <w:r w:rsidR="00437872" w:rsidRPr="009156F2">
        <w:rPr>
          <w:szCs w:val="24"/>
        </w:rPr>
        <w:t>Kevin Tucker</w:t>
      </w:r>
      <w:r w:rsidR="00EB4E33" w:rsidRPr="009156F2">
        <w:rPr>
          <w:szCs w:val="24"/>
        </w:rPr>
        <w:t xml:space="preserve">, </w:t>
      </w:r>
      <w:r w:rsidR="00437872" w:rsidRPr="009156F2">
        <w:rPr>
          <w:szCs w:val="24"/>
        </w:rPr>
        <w:t>Kevin Abramowicz</w:t>
      </w:r>
      <w:r w:rsidR="003A7D94" w:rsidRPr="009156F2">
        <w:rPr>
          <w:szCs w:val="24"/>
        </w:rPr>
        <w:t>, Chandler Steiger, and Stephanie Moore</w:t>
      </w:r>
      <w:r w:rsidR="00437872" w:rsidRPr="009156F2">
        <w:rPr>
          <w:szCs w:val="24"/>
        </w:rPr>
        <w:t xml:space="preserve"> </w:t>
      </w:r>
      <w:r w:rsidR="00016981" w:rsidRPr="009156F2">
        <w:rPr>
          <w:szCs w:val="24"/>
        </w:rPr>
        <w:t>secure</w:t>
      </w:r>
      <w:r w:rsidR="003525E1" w:rsidRPr="009156F2">
        <w:rPr>
          <w:szCs w:val="24"/>
        </w:rPr>
        <w:t>d</w:t>
      </w:r>
      <w:r w:rsidR="00016981" w:rsidRPr="009156F2">
        <w:rPr>
          <w:szCs w:val="24"/>
        </w:rPr>
        <w:t xml:space="preserve"> a “just, speedy, and inexpensive determination,</w:t>
      </w:r>
      <w:r w:rsidR="001E1CBF" w:rsidRPr="009156F2">
        <w:rPr>
          <w:szCs w:val="24"/>
        </w:rPr>
        <w:t>”</w:t>
      </w:r>
      <w:r w:rsidR="00016981" w:rsidRPr="009156F2">
        <w:rPr>
          <w:szCs w:val="24"/>
        </w:rPr>
        <w:t xml:space="preserve"> </w:t>
      </w:r>
      <w:r w:rsidR="00BE1300" w:rsidRPr="009156F2">
        <w:rPr>
          <w:szCs w:val="24"/>
        </w:rPr>
        <w:t>consistent</w:t>
      </w:r>
      <w:r w:rsidR="00016981" w:rsidRPr="009156F2">
        <w:rPr>
          <w:szCs w:val="24"/>
        </w:rPr>
        <w:t xml:space="preserve"> with Fed. R. Civ. P. 1</w:t>
      </w:r>
      <w:r w:rsidR="009A61B7" w:rsidRPr="009156F2">
        <w:rPr>
          <w:szCs w:val="24"/>
        </w:rPr>
        <w:t xml:space="preserve">; </w:t>
      </w:r>
      <w:r w:rsidR="009A61B7" w:rsidRPr="00C34362">
        <w:rPr>
          <w:szCs w:val="24"/>
        </w:rPr>
        <w:t>and</w:t>
      </w:r>
    </w:p>
    <w:p w14:paraId="6A319AD7" w14:textId="63CB7CF8" w:rsidR="00016981" w:rsidRPr="00C34362" w:rsidRDefault="00016981" w:rsidP="007A5075">
      <w:pPr>
        <w:pStyle w:val="ListParagraph"/>
        <w:numPr>
          <w:ilvl w:val="0"/>
          <w:numId w:val="5"/>
        </w:numPr>
        <w:spacing w:after="240"/>
        <w:ind w:hanging="720"/>
        <w:contextualSpacing w:val="0"/>
        <w:jc w:val="both"/>
        <w:rPr>
          <w:szCs w:val="24"/>
        </w:rPr>
      </w:pPr>
      <w:r w:rsidRPr="004367A1">
        <w:rPr>
          <w:szCs w:val="24"/>
        </w:rPr>
        <w:t xml:space="preserve">The requested </w:t>
      </w:r>
      <w:r w:rsidR="00F676C1" w:rsidRPr="004367A1">
        <w:rPr>
          <w:szCs w:val="24"/>
        </w:rPr>
        <w:t>a</w:t>
      </w:r>
      <w:r w:rsidR="00EF69DA" w:rsidRPr="004367A1">
        <w:rPr>
          <w:szCs w:val="24"/>
        </w:rPr>
        <w:t>ttorneys</w:t>
      </w:r>
      <w:r w:rsidR="00E71ED7" w:rsidRPr="004367A1">
        <w:rPr>
          <w:szCs w:val="24"/>
        </w:rPr>
        <w:t>’</w:t>
      </w:r>
      <w:r w:rsidRPr="004367A1">
        <w:rPr>
          <w:szCs w:val="24"/>
        </w:rPr>
        <w:t xml:space="preserve"> fees are less than Class Counsel’s lodest</w:t>
      </w:r>
      <w:r w:rsidR="00B7475E" w:rsidRPr="004367A1">
        <w:rPr>
          <w:szCs w:val="24"/>
        </w:rPr>
        <w:t>ar to date</w:t>
      </w:r>
      <w:r w:rsidR="003A7D94" w:rsidRPr="00C34362">
        <w:rPr>
          <w:szCs w:val="24"/>
        </w:rPr>
        <w:t>, not to mention the work Class Counsel is obligated to perform in the future</w:t>
      </w:r>
      <w:r w:rsidR="00B7475E" w:rsidRPr="00C34362">
        <w:rPr>
          <w:szCs w:val="24"/>
        </w:rPr>
        <w:t>.</w:t>
      </w:r>
    </w:p>
    <w:p w14:paraId="17D50316" w14:textId="181BA260" w:rsidR="00B7475E" w:rsidRPr="004263B2" w:rsidRDefault="004C47A1" w:rsidP="007A5075">
      <w:pPr>
        <w:spacing w:line="480" w:lineRule="auto"/>
        <w:ind w:firstLine="720"/>
        <w:jc w:val="both"/>
        <w:rPr>
          <w:szCs w:val="24"/>
        </w:rPr>
      </w:pPr>
      <w:r w:rsidRPr="004263B2">
        <w:rPr>
          <w:szCs w:val="24"/>
        </w:rPr>
        <w:t xml:space="preserve">The Court preliminarily approved the Agreement on </w:t>
      </w:r>
      <w:r w:rsidR="002929FE" w:rsidRPr="004263B2">
        <w:rPr>
          <w:szCs w:val="24"/>
        </w:rPr>
        <w:t>April 13</w:t>
      </w:r>
      <w:r w:rsidR="00F81D41" w:rsidRPr="004263B2">
        <w:rPr>
          <w:szCs w:val="24"/>
        </w:rPr>
        <w:t>, 202</w:t>
      </w:r>
      <w:r w:rsidR="00DE6703" w:rsidRPr="004263B2">
        <w:rPr>
          <w:szCs w:val="24"/>
        </w:rPr>
        <w:t>3</w:t>
      </w:r>
      <w:r w:rsidR="004263B2" w:rsidRPr="004263B2">
        <w:rPr>
          <w:szCs w:val="24"/>
        </w:rPr>
        <w:t>,</w:t>
      </w:r>
      <w:r w:rsidR="00DE6703" w:rsidRPr="004263B2">
        <w:rPr>
          <w:szCs w:val="24"/>
        </w:rPr>
        <w:t xml:space="preserve"> (Doc.</w:t>
      </w:r>
      <w:r w:rsidR="002929FE" w:rsidRPr="004263B2">
        <w:rPr>
          <w:szCs w:val="24"/>
        </w:rPr>
        <w:t xml:space="preserve"> 16</w:t>
      </w:r>
      <w:r w:rsidR="00DE6703" w:rsidRPr="004263B2">
        <w:rPr>
          <w:szCs w:val="24"/>
        </w:rPr>
        <w:t>)</w:t>
      </w:r>
      <w:r w:rsidR="00D74322" w:rsidRPr="004263B2">
        <w:rPr>
          <w:szCs w:val="24"/>
        </w:rPr>
        <w:t>,</w:t>
      </w:r>
      <w:r w:rsidR="00074274" w:rsidRPr="004263B2">
        <w:rPr>
          <w:szCs w:val="24"/>
        </w:rPr>
        <w:t xml:space="preserve"> and</w:t>
      </w:r>
      <w:r w:rsidR="00964B58" w:rsidRPr="004263B2">
        <w:rPr>
          <w:szCs w:val="24"/>
        </w:rPr>
        <w:t xml:space="preserve"> </w:t>
      </w:r>
      <w:r w:rsidRPr="004263B2">
        <w:rPr>
          <w:szCs w:val="24"/>
        </w:rPr>
        <w:t>schedule</w:t>
      </w:r>
      <w:r w:rsidR="00964B58" w:rsidRPr="004263B2">
        <w:rPr>
          <w:szCs w:val="24"/>
        </w:rPr>
        <w:t>d</w:t>
      </w:r>
      <w:r w:rsidRPr="004263B2">
        <w:rPr>
          <w:szCs w:val="24"/>
        </w:rPr>
        <w:t xml:space="preserve"> a </w:t>
      </w:r>
      <w:r w:rsidR="003D0DF0" w:rsidRPr="004263B2">
        <w:rPr>
          <w:szCs w:val="24"/>
        </w:rPr>
        <w:t>f</w:t>
      </w:r>
      <w:r w:rsidR="00964B58" w:rsidRPr="004263B2">
        <w:rPr>
          <w:szCs w:val="24"/>
        </w:rPr>
        <w:t xml:space="preserve">inal </w:t>
      </w:r>
      <w:r w:rsidR="003D0DF0" w:rsidRPr="004263B2">
        <w:rPr>
          <w:szCs w:val="24"/>
        </w:rPr>
        <w:t>fairness</w:t>
      </w:r>
      <w:r w:rsidRPr="004263B2">
        <w:rPr>
          <w:szCs w:val="24"/>
        </w:rPr>
        <w:t xml:space="preserve"> </w:t>
      </w:r>
      <w:r w:rsidR="003D0DF0" w:rsidRPr="004263B2">
        <w:rPr>
          <w:szCs w:val="24"/>
        </w:rPr>
        <w:t>h</w:t>
      </w:r>
      <w:r w:rsidRPr="004263B2">
        <w:rPr>
          <w:szCs w:val="24"/>
        </w:rPr>
        <w:t xml:space="preserve">earing for </w:t>
      </w:r>
      <w:r w:rsidR="002929FE" w:rsidRPr="004263B2">
        <w:rPr>
          <w:szCs w:val="24"/>
        </w:rPr>
        <w:t>September 19</w:t>
      </w:r>
      <w:r w:rsidRPr="004263B2">
        <w:rPr>
          <w:szCs w:val="24"/>
        </w:rPr>
        <w:t>, 202</w:t>
      </w:r>
      <w:r w:rsidR="003D0DF0" w:rsidRPr="004263B2">
        <w:rPr>
          <w:szCs w:val="24"/>
        </w:rPr>
        <w:t>3</w:t>
      </w:r>
      <w:r w:rsidR="004263B2" w:rsidRPr="004263B2">
        <w:rPr>
          <w:szCs w:val="24"/>
        </w:rPr>
        <w:t>,</w:t>
      </w:r>
      <w:r w:rsidRPr="004263B2">
        <w:rPr>
          <w:szCs w:val="24"/>
        </w:rPr>
        <w:t xml:space="preserve"> </w:t>
      </w:r>
      <w:r w:rsidR="00074274" w:rsidRPr="004263B2">
        <w:rPr>
          <w:szCs w:val="24"/>
        </w:rPr>
        <w:t>(</w:t>
      </w:r>
      <w:r w:rsidR="004263B2" w:rsidRPr="004263B2">
        <w:rPr>
          <w:i/>
          <w:iCs/>
          <w:szCs w:val="24"/>
        </w:rPr>
        <w:t>id</w:t>
      </w:r>
      <w:r w:rsidR="004263B2" w:rsidRPr="004263B2">
        <w:rPr>
          <w:szCs w:val="24"/>
        </w:rPr>
        <w:t>.</w:t>
      </w:r>
      <w:r w:rsidR="00DE6703" w:rsidRPr="004263B2">
        <w:rPr>
          <w:szCs w:val="24"/>
        </w:rPr>
        <w:t xml:space="preserve">, ¶ </w:t>
      </w:r>
      <w:r w:rsidR="004263B2" w:rsidRPr="004263B2">
        <w:rPr>
          <w:szCs w:val="24"/>
        </w:rPr>
        <w:t>13</w:t>
      </w:r>
      <w:r w:rsidR="00074274" w:rsidRPr="004263B2">
        <w:rPr>
          <w:szCs w:val="24"/>
        </w:rPr>
        <w:t>)</w:t>
      </w:r>
      <w:r w:rsidR="004263B2" w:rsidRPr="004263B2">
        <w:rPr>
          <w:szCs w:val="24"/>
        </w:rPr>
        <w:t>.</w:t>
      </w:r>
      <w:r w:rsidR="00074274" w:rsidRPr="004263B2">
        <w:rPr>
          <w:szCs w:val="24"/>
        </w:rPr>
        <w:t xml:space="preserve"> </w:t>
      </w:r>
      <w:r w:rsidR="00B7475E" w:rsidRPr="004263B2">
        <w:rPr>
          <w:szCs w:val="24"/>
        </w:rPr>
        <w:t xml:space="preserve">As set forth below, the </w:t>
      </w:r>
      <w:r w:rsidR="00F676C1" w:rsidRPr="004263B2">
        <w:rPr>
          <w:szCs w:val="24"/>
        </w:rPr>
        <w:t>attorneys</w:t>
      </w:r>
      <w:r w:rsidR="00074274" w:rsidRPr="004263B2">
        <w:rPr>
          <w:szCs w:val="24"/>
        </w:rPr>
        <w:t>’</w:t>
      </w:r>
      <w:r w:rsidR="00B7475E" w:rsidRPr="004263B2">
        <w:rPr>
          <w:szCs w:val="24"/>
        </w:rPr>
        <w:t xml:space="preserve"> fees and incentive award are fair and reasonable and should be approved by the Court.</w:t>
      </w:r>
    </w:p>
    <w:p w14:paraId="16836041" w14:textId="53338992" w:rsidR="009A61B7" w:rsidRPr="00682887" w:rsidRDefault="009A61B7" w:rsidP="00E458A2">
      <w:pPr>
        <w:pStyle w:val="ListParagraph"/>
        <w:keepNext/>
        <w:numPr>
          <w:ilvl w:val="0"/>
          <w:numId w:val="7"/>
        </w:numPr>
        <w:spacing w:line="480" w:lineRule="auto"/>
        <w:ind w:right="720" w:hanging="720"/>
        <w:jc w:val="both"/>
        <w:rPr>
          <w:szCs w:val="24"/>
        </w:rPr>
      </w:pPr>
      <w:r w:rsidRPr="00682887">
        <w:rPr>
          <w:b/>
          <w:bCs/>
          <w:szCs w:val="24"/>
        </w:rPr>
        <w:t>RELEVANT TERMS OF THE SETTLEMENT AGREEMENT</w:t>
      </w:r>
      <w:r w:rsidR="00CD67C7" w:rsidRPr="004C10C0">
        <w:rPr>
          <w:rStyle w:val="FootnoteReference"/>
          <w:szCs w:val="24"/>
        </w:rPr>
        <w:footnoteReference w:id="2"/>
      </w:r>
    </w:p>
    <w:p w14:paraId="43FA49A4" w14:textId="3AEF4F3D" w:rsidR="00384B61" w:rsidRPr="00A51D64" w:rsidRDefault="00F81D41" w:rsidP="007A5075">
      <w:pPr>
        <w:spacing w:line="480" w:lineRule="auto"/>
        <w:ind w:firstLine="720"/>
        <w:jc w:val="both"/>
        <w:rPr>
          <w:szCs w:val="24"/>
        </w:rPr>
      </w:pPr>
      <w:r w:rsidRPr="00A51D64">
        <w:rPr>
          <w:szCs w:val="24"/>
        </w:rPr>
        <w:t>Pursuant to the</w:t>
      </w:r>
      <w:r w:rsidR="00231791" w:rsidRPr="00A51D64">
        <w:rPr>
          <w:szCs w:val="24"/>
        </w:rPr>
        <w:t xml:space="preserve"> Agreement</w:t>
      </w:r>
      <w:r w:rsidR="00367269" w:rsidRPr="00A51D64">
        <w:rPr>
          <w:szCs w:val="24"/>
        </w:rPr>
        <w:t xml:space="preserve">, </w:t>
      </w:r>
      <w:r w:rsidRPr="00A51D64">
        <w:rPr>
          <w:szCs w:val="24"/>
        </w:rPr>
        <w:t>Defendant has</w:t>
      </w:r>
      <w:r w:rsidR="00964B58" w:rsidRPr="00A51D64">
        <w:rPr>
          <w:szCs w:val="24"/>
        </w:rPr>
        <w:t xml:space="preserve"> </w:t>
      </w:r>
      <w:r w:rsidR="00231791" w:rsidRPr="00A51D64">
        <w:rPr>
          <w:szCs w:val="24"/>
        </w:rPr>
        <w:t>agreed to pay the following:</w:t>
      </w:r>
    </w:p>
    <w:p w14:paraId="10ABA142" w14:textId="0E6AC538" w:rsidR="00231791" w:rsidRPr="00BF3AB4" w:rsidRDefault="00074274" w:rsidP="00F81D41">
      <w:pPr>
        <w:spacing w:after="240"/>
        <w:ind w:left="720" w:right="720"/>
        <w:jc w:val="both"/>
        <w:rPr>
          <w:szCs w:val="24"/>
        </w:rPr>
      </w:pPr>
      <w:r w:rsidRPr="00A51D64">
        <w:rPr>
          <w:b/>
          <w:bCs/>
          <w:szCs w:val="24"/>
        </w:rPr>
        <w:t>2</w:t>
      </w:r>
      <w:r w:rsidR="00A51D64" w:rsidRPr="00A51D64">
        <w:rPr>
          <w:b/>
          <w:bCs/>
          <w:szCs w:val="24"/>
        </w:rPr>
        <w:t>0</w:t>
      </w:r>
      <w:r w:rsidR="00231791" w:rsidRPr="00A51D64">
        <w:rPr>
          <w:b/>
          <w:bCs/>
          <w:szCs w:val="24"/>
        </w:rPr>
        <w:t>.</w:t>
      </w:r>
      <w:r w:rsidR="00843522" w:rsidRPr="00A51D64">
        <w:rPr>
          <w:b/>
          <w:bCs/>
          <w:szCs w:val="24"/>
        </w:rPr>
        <w:t>1</w:t>
      </w:r>
      <w:r w:rsidR="005B25EF" w:rsidRPr="00A51D64">
        <w:rPr>
          <w:b/>
          <w:bCs/>
          <w:szCs w:val="24"/>
        </w:rPr>
        <w:t>.</w:t>
      </w:r>
      <w:r w:rsidR="00231791" w:rsidRPr="00A51D64">
        <w:rPr>
          <w:b/>
          <w:bCs/>
          <w:szCs w:val="24"/>
        </w:rPr>
        <w:t xml:space="preserve"> </w:t>
      </w:r>
      <w:r w:rsidR="00843522" w:rsidRPr="00A51D64">
        <w:rPr>
          <w:b/>
          <w:bCs/>
          <w:szCs w:val="24"/>
        </w:rPr>
        <w:t>[</w:t>
      </w:r>
      <w:r w:rsidR="00231791" w:rsidRPr="00A51D64">
        <w:rPr>
          <w:b/>
          <w:bCs/>
          <w:szCs w:val="24"/>
        </w:rPr>
        <w:t xml:space="preserve">Incentive Award to </w:t>
      </w:r>
      <w:r w:rsidR="005B25EF" w:rsidRPr="00A51D64">
        <w:rPr>
          <w:b/>
          <w:bCs/>
          <w:szCs w:val="24"/>
        </w:rPr>
        <w:t xml:space="preserve">Named </w:t>
      </w:r>
      <w:r w:rsidR="00231791" w:rsidRPr="00A51D64">
        <w:rPr>
          <w:b/>
          <w:bCs/>
          <w:szCs w:val="24"/>
        </w:rPr>
        <w:t>Plaintiff.</w:t>
      </w:r>
      <w:r w:rsidR="00843522" w:rsidRPr="00A51D64">
        <w:rPr>
          <w:b/>
          <w:bCs/>
          <w:szCs w:val="24"/>
        </w:rPr>
        <w:t>]</w:t>
      </w:r>
      <w:r w:rsidR="00231791" w:rsidRPr="00A51D64">
        <w:rPr>
          <w:szCs w:val="24"/>
        </w:rPr>
        <w:t xml:space="preserve"> </w:t>
      </w:r>
      <w:r w:rsidR="00F81D41" w:rsidRPr="00A51D64">
        <w:rPr>
          <w:szCs w:val="24"/>
        </w:rPr>
        <w:t xml:space="preserve">Subject to Court approval, </w:t>
      </w:r>
      <w:r w:rsidR="00A51D64" w:rsidRPr="00A51D64">
        <w:rPr>
          <w:szCs w:val="24"/>
        </w:rPr>
        <w:t xml:space="preserve">Mondelēz </w:t>
      </w:r>
      <w:r w:rsidR="00A51D64" w:rsidRPr="00BF3AB4">
        <w:rPr>
          <w:szCs w:val="24"/>
        </w:rPr>
        <w:t>Global LLC</w:t>
      </w:r>
      <w:r w:rsidR="00F81D41" w:rsidRPr="00BF3AB4">
        <w:rPr>
          <w:szCs w:val="24"/>
        </w:rPr>
        <w:t xml:space="preserve"> shall pay </w:t>
      </w:r>
      <w:r w:rsidR="00A51D64" w:rsidRPr="00BF3AB4">
        <w:rPr>
          <w:szCs w:val="24"/>
        </w:rPr>
        <w:t>Named Plaintiff</w:t>
      </w:r>
      <w:r w:rsidR="00F81D41" w:rsidRPr="00BF3AB4">
        <w:rPr>
          <w:szCs w:val="24"/>
        </w:rPr>
        <w:t xml:space="preserve"> an incentive award in the amount of One Thousand </w:t>
      </w:r>
      <w:r w:rsidR="00A51D64" w:rsidRPr="00BF3AB4">
        <w:rPr>
          <w:szCs w:val="24"/>
        </w:rPr>
        <w:t xml:space="preserve">Five Hundred </w:t>
      </w:r>
      <w:r w:rsidR="00F81D41" w:rsidRPr="00BF3AB4">
        <w:rPr>
          <w:szCs w:val="24"/>
        </w:rPr>
        <w:t>Dollars and Zero Cents ($1,</w:t>
      </w:r>
      <w:r w:rsidR="00A51D64" w:rsidRPr="00BF3AB4">
        <w:rPr>
          <w:szCs w:val="24"/>
        </w:rPr>
        <w:t>5</w:t>
      </w:r>
      <w:r w:rsidR="00F81D41" w:rsidRPr="00BF3AB4">
        <w:rPr>
          <w:szCs w:val="24"/>
        </w:rPr>
        <w:t>00.00)</w:t>
      </w:r>
      <w:r w:rsidR="00231791" w:rsidRPr="00BF3AB4">
        <w:rPr>
          <w:szCs w:val="24"/>
        </w:rPr>
        <w:t>.</w:t>
      </w:r>
    </w:p>
    <w:p w14:paraId="7B0E794D" w14:textId="02A4B32D" w:rsidR="00843522" w:rsidRPr="00BF3AB4" w:rsidRDefault="00843522" w:rsidP="00F81D41">
      <w:pPr>
        <w:spacing w:after="240"/>
        <w:ind w:left="720" w:right="720"/>
        <w:jc w:val="both"/>
        <w:rPr>
          <w:szCs w:val="24"/>
        </w:rPr>
      </w:pPr>
      <w:r w:rsidRPr="00BF3AB4">
        <w:rPr>
          <w:b/>
          <w:bCs/>
          <w:szCs w:val="24"/>
        </w:rPr>
        <w:t>2</w:t>
      </w:r>
      <w:r w:rsidR="00BF3AB4" w:rsidRPr="00BF3AB4">
        <w:rPr>
          <w:b/>
          <w:bCs/>
          <w:szCs w:val="24"/>
        </w:rPr>
        <w:t>3</w:t>
      </w:r>
      <w:r w:rsidRPr="00BF3AB4">
        <w:rPr>
          <w:b/>
          <w:bCs/>
          <w:szCs w:val="24"/>
        </w:rPr>
        <w:t>.1</w:t>
      </w:r>
      <w:r w:rsidR="004C077C" w:rsidRPr="00BF3AB4">
        <w:rPr>
          <w:b/>
          <w:bCs/>
          <w:szCs w:val="24"/>
        </w:rPr>
        <w:t>.</w:t>
      </w:r>
      <w:r w:rsidRPr="00BF3AB4">
        <w:rPr>
          <w:b/>
          <w:bCs/>
          <w:szCs w:val="24"/>
        </w:rPr>
        <w:t xml:space="preserve"> [</w:t>
      </w:r>
      <w:r w:rsidR="00367269" w:rsidRPr="00BF3AB4">
        <w:rPr>
          <w:b/>
          <w:bCs/>
          <w:szCs w:val="24"/>
        </w:rPr>
        <w:t>A</w:t>
      </w:r>
      <w:r w:rsidR="00F676C1" w:rsidRPr="00BF3AB4">
        <w:rPr>
          <w:b/>
          <w:bCs/>
          <w:szCs w:val="24"/>
        </w:rPr>
        <w:t>ttorneys</w:t>
      </w:r>
      <w:r w:rsidR="00074274" w:rsidRPr="00BF3AB4">
        <w:rPr>
          <w:b/>
          <w:bCs/>
          <w:szCs w:val="24"/>
        </w:rPr>
        <w:t>’</w:t>
      </w:r>
      <w:r w:rsidRPr="00BF3AB4">
        <w:rPr>
          <w:b/>
          <w:bCs/>
          <w:szCs w:val="24"/>
        </w:rPr>
        <w:t xml:space="preserve"> Fees and Costs </w:t>
      </w:r>
      <w:r w:rsidR="00BF3AB4" w:rsidRPr="00BF3AB4">
        <w:rPr>
          <w:b/>
          <w:bCs/>
          <w:szCs w:val="24"/>
        </w:rPr>
        <w:t>up to the Date of Final Approval</w:t>
      </w:r>
      <w:r w:rsidRPr="00BF3AB4">
        <w:rPr>
          <w:b/>
          <w:bCs/>
          <w:szCs w:val="24"/>
        </w:rPr>
        <w:t>.]</w:t>
      </w:r>
      <w:r w:rsidRPr="00BF3AB4">
        <w:rPr>
          <w:szCs w:val="24"/>
        </w:rPr>
        <w:t xml:space="preserve"> </w:t>
      </w:r>
      <w:r w:rsidR="00F81D41" w:rsidRPr="00BF3AB4">
        <w:rPr>
          <w:szCs w:val="24"/>
        </w:rPr>
        <w:t xml:space="preserve">Subject to Court approval, </w:t>
      </w:r>
      <w:r w:rsidR="00BF3AB4" w:rsidRPr="00BF3AB4">
        <w:rPr>
          <w:szCs w:val="24"/>
        </w:rPr>
        <w:t xml:space="preserve">Mondelēz Global LLC </w:t>
      </w:r>
      <w:r w:rsidR="00F81D41" w:rsidRPr="00BF3AB4">
        <w:rPr>
          <w:szCs w:val="24"/>
        </w:rPr>
        <w:t xml:space="preserve">shall pay </w:t>
      </w:r>
      <w:r w:rsidR="00BF3AB4" w:rsidRPr="00BF3AB4">
        <w:rPr>
          <w:szCs w:val="24"/>
        </w:rPr>
        <w:t>Named Plaintiff’s</w:t>
      </w:r>
      <w:r w:rsidR="00F81D41" w:rsidRPr="00BF3AB4">
        <w:rPr>
          <w:szCs w:val="24"/>
        </w:rPr>
        <w:t xml:space="preserve"> reasonable attorneys’ fees and Costs incurred in connection with this matter in </w:t>
      </w:r>
      <w:r w:rsidR="00BF3AB4" w:rsidRPr="00BF3AB4">
        <w:rPr>
          <w:szCs w:val="24"/>
        </w:rPr>
        <w:t>an</w:t>
      </w:r>
      <w:r w:rsidR="00F81D41" w:rsidRPr="00BF3AB4">
        <w:rPr>
          <w:szCs w:val="24"/>
        </w:rPr>
        <w:t xml:space="preserve"> amount </w:t>
      </w:r>
      <w:r w:rsidR="00BF3AB4" w:rsidRPr="00BF3AB4">
        <w:rPr>
          <w:szCs w:val="24"/>
        </w:rPr>
        <w:t>not to exceed Seventy-Three</w:t>
      </w:r>
      <w:r w:rsidR="00F81D41" w:rsidRPr="00BF3AB4">
        <w:rPr>
          <w:szCs w:val="24"/>
        </w:rPr>
        <w:t xml:space="preserve"> Thousand </w:t>
      </w:r>
      <w:r w:rsidR="00BF3AB4" w:rsidRPr="00BF3AB4">
        <w:rPr>
          <w:szCs w:val="24"/>
        </w:rPr>
        <w:t xml:space="preserve">Five Hundred </w:t>
      </w:r>
      <w:r w:rsidR="00F81D41" w:rsidRPr="00BF3AB4">
        <w:rPr>
          <w:szCs w:val="24"/>
        </w:rPr>
        <w:t>Dollars and Zero Cents ($</w:t>
      </w:r>
      <w:r w:rsidR="00BF3AB4" w:rsidRPr="00BF3AB4">
        <w:rPr>
          <w:szCs w:val="24"/>
        </w:rPr>
        <w:t>73</w:t>
      </w:r>
      <w:r w:rsidR="00F81D41" w:rsidRPr="00BF3AB4">
        <w:rPr>
          <w:szCs w:val="24"/>
        </w:rPr>
        <w:t>,</w:t>
      </w:r>
      <w:r w:rsidR="00BF3AB4" w:rsidRPr="00BF3AB4">
        <w:rPr>
          <w:szCs w:val="24"/>
        </w:rPr>
        <w:t>5</w:t>
      </w:r>
      <w:r w:rsidR="00F81D41" w:rsidRPr="00BF3AB4">
        <w:rPr>
          <w:szCs w:val="24"/>
        </w:rPr>
        <w:t>00.00)</w:t>
      </w:r>
      <w:r w:rsidR="00BF3AB4" w:rsidRPr="00BF3AB4">
        <w:rPr>
          <w:szCs w:val="24"/>
        </w:rPr>
        <w:t xml:space="preserve"> or such lesser amount as may be awarded by the Court. . . .</w:t>
      </w:r>
    </w:p>
    <w:p w14:paraId="485DCA1C" w14:textId="765C6FA2" w:rsidR="00843522" w:rsidRPr="004C10C0" w:rsidRDefault="00964B58" w:rsidP="00074274">
      <w:pPr>
        <w:spacing w:after="240"/>
        <w:ind w:right="720"/>
        <w:jc w:val="both"/>
        <w:rPr>
          <w:szCs w:val="24"/>
        </w:rPr>
      </w:pPr>
      <w:r w:rsidRPr="004C10C0">
        <w:rPr>
          <w:szCs w:val="24"/>
        </w:rPr>
        <w:t xml:space="preserve">(Doc. </w:t>
      </w:r>
      <w:r w:rsidR="004C10C0" w:rsidRPr="004C10C0">
        <w:rPr>
          <w:szCs w:val="24"/>
        </w:rPr>
        <w:t>12</w:t>
      </w:r>
      <w:r w:rsidRPr="004C10C0">
        <w:rPr>
          <w:szCs w:val="24"/>
        </w:rPr>
        <w:t>-</w:t>
      </w:r>
      <w:r w:rsidR="00FB1429" w:rsidRPr="004C10C0">
        <w:rPr>
          <w:szCs w:val="24"/>
        </w:rPr>
        <w:t>1</w:t>
      </w:r>
      <w:r w:rsidR="00B32A98" w:rsidRPr="004C10C0">
        <w:rPr>
          <w:szCs w:val="24"/>
        </w:rPr>
        <w:t xml:space="preserve">, </w:t>
      </w:r>
      <w:r w:rsidR="00FB1429" w:rsidRPr="004C10C0">
        <w:rPr>
          <w:szCs w:val="24"/>
        </w:rPr>
        <w:t>§§</w:t>
      </w:r>
      <w:r w:rsidR="00093940" w:rsidRPr="004C10C0">
        <w:rPr>
          <w:szCs w:val="24"/>
        </w:rPr>
        <w:t xml:space="preserve"> </w:t>
      </w:r>
      <w:r w:rsidR="00FB1429" w:rsidRPr="004C10C0">
        <w:rPr>
          <w:szCs w:val="24"/>
        </w:rPr>
        <w:t>2</w:t>
      </w:r>
      <w:r w:rsidR="004C10C0" w:rsidRPr="004C10C0">
        <w:rPr>
          <w:szCs w:val="24"/>
        </w:rPr>
        <w:t>0</w:t>
      </w:r>
      <w:r w:rsidR="00FB1429" w:rsidRPr="004C10C0">
        <w:rPr>
          <w:szCs w:val="24"/>
        </w:rPr>
        <w:t>.1, 2</w:t>
      </w:r>
      <w:r w:rsidR="004C10C0" w:rsidRPr="004C10C0">
        <w:rPr>
          <w:szCs w:val="24"/>
        </w:rPr>
        <w:t>3</w:t>
      </w:r>
      <w:r w:rsidR="00FB1429" w:rsidRPr="004C10C0">
        <w:rPr>
          <w:szCs w:val="24"/>
        </w:rPr>
        <w:t>.1</w:t>
      </w:r>
      <w:r w:rsidR="00093940" w:rsidRPr="004C10C0">
        <w:rPr>
          <w:szCs w:val="24"/>
        </w:rPr>
        <w:t>.</w:t>
      </w:r>
      <w:r w:rsidRPr="004C10C0">
        <w:rPr>
          <w:szCs w:val="24"/>
        </w:rPr>
        <w:t>)</w:t>
      </w:r>
    </w:p>
    <w:p w14:paraId="1CABFB06" w14:textId="69ACD943" w:rsidR="00093940" w:rsidRPr="001F2890" w:rsidRDefault="00093940" w:rsidP="00E458A2">
      <w:pPr>
        <w:pStyle w:val="ListParagraph"/>
        <w:keepNext/>
        <w:numPr>
          <w:ilvl w:val="0"/>
          <w:numId w:val="7"/>
        </w:numPr>
        <w:spacing w:after="240"/>
        <w:ind w:right="720" w:hanging="720"/>
        <w:contextualSpacing w:val="0"/>
        <w:rPr>
          <w:szCs w:val="24"/>
        </w:rPr>
      </w:pPr>
      <w:r w:rsidRPr="001F2890">
        <w:rPr>
          <w:b/>
          <w:bCs/>
          <w:szCs w:val="24"/>
        </w:rPr>
        <w:lastRenderedPageBreak/>
        <w:t>CLASS COUNSEL’S REQUESTED FEES ARE FAIR</w:t>
      </w:r>
      <w:r w:rsidR="00047BB6" w:rsidRPr="001F2890">
        <w:rPr>
          <w:b/>
          <w:bCs/>
          <w:szCs w:val="24"/>
        </w:rPr>
        <w:t xml:space="preserve"> AND </w:t>
      </w:r>
      <w:r w:rsidRPr="001F2890">
        <w:rPr>
          <w:b/>
          <w:bCs/>
          <w:szCs w:val="24"/>
        </w:rPr>
        <w:t>REASONABLE AND SHOULD BE APPROVED</w:t>
      </w:r>
    </w:p>
    <w:p w14:paraId="0394B15F" w14:textId="7AEE5B89" w:rsidR="00231791" w:rsidRPr="001F2890" w:rsidRDefault="00B23FD8" w:rsidP="00E458A2">
      <w:pPr>
        <w:pStyle w:val="ListParagraph"/>
        <w:keepNext/>
        <w:numPr>
          <w:ilvl w:val="0"/>
          <w:numId w:val="9"/>
        </w:numPr>
        <w:spacing w:line="480" w:lineRule="auto"/>
        <w:ind w:left="1440" w:right="720" w:hanging="720"/>
        <w:contextualSpacing w:val="0"/>
        <w:jc w:val="both"/>
        <w:rPr>
          <w:b/>
          <w:bCs/>
          <w:szCs w:val="24"/>
        </w:rPr>
      </w:pPr>
      <w:r w:rsidRPr="001F2890">
        <w:rPr>
          <w:b/>
          <w:bCs/>
          <w:szCs w:val="24"/>
        </w:rPr>
        <w:t>Plaintiff Is The Prevailing Party</w:t>
      </w:r>
    </w:p>
    <w:p w14:paraId="060F6472" w14:textId="146BBD45" w:rsidR="00B55AEC" w:rsidRPr="00270013" w:rsidRDefault="00EF69DA" w:rsidP="007A5075">
      <w:pPr>
        <w:spacing w:line="480" w:lineRule="auto"/>
        <w:ind w:firstLine="720"/>
        <w:jc w:val="both"/>
        <w:rPr>
          <w:szCs w:val="24"/>
        </w:rPr>
      </w:pPr>
      <w:r w:rsidRPr="00270013">
        <w:rPr>
          <w:szCs w:val="24"/>
        </w:rPr>
        <w:t>The ADA provides that a court may allow the prevailing party to recover “a reasonable attorney’s fee, including litigation expenses, and costs</w:t>
      </w:r>
      <w:r w:rsidR="00CA5514" w:rsidRPr="00270013">
        <w:rPr>
          <w:szCs w:val="24"/>
        </w:rPr>
        <w:t>[</w:t>
      </w:r>
      <w:r w:rsidRPr="00270013">
        <w:rPr>
          <w:szCs w:val="24"/>
        </w:rPr>
        <w:t>.</w:t>
      </w:r>
      <w:r w:rsidR="00CA5514" w:rsidRPr="00270013">
        <w:rPr>
          <w:szCs w:val="24"/>
        </w:rPr>
        <w:t>]</w:t>
      </w:r>
      <w:r w:rsidRPr="00270013">
        <w:rPr>
          <w:szCs w:val="24"/>
        </w:rPr>
        <w:t>” 42 U.S.C. § 12205</w:t>
      </w:r>
      <w:r w:rsidR="00A07242" w:rsidRPr="00270013">
        <w:rPr>
          <w:szCs w:val="24"/>
        </w:rPr>
        <w:fldChar w:fldCharType="begin"/>
      </w:r>
      <w:r w:rsidR="00A07242" w:rsidRPr="00270013">
        <w:rPr>
          <w:szCs w:val="24"/>
        </w:rPr>
        <w:instrText xml:space="preserve"> TA \s "42 U.S.C. § 12205" </w:instrText>
      </w:r>
      <w:r w:rsidR="00A07242" w:rsidRPr="00270013">
        <w:rPr>
          <w:szCs w:val="24"/>
        </w:rPr>
        <w:fldChar w:fldCharType="end"/>
      </w:r>
      <w:r w:rsidRPr="00270013">
        <w:rPr>
          <w:szCs w:val="24"/>
        </w:rPr>
        <w:t xml:space="preserve">. </w:t>
      </w:r>
      <w:r w:rsidR="00ED0034" w:rsidRPr="00270013">
        <w:rPr>
          <w:szCs w:val="24"/>
        </w:rPr>
        <w:t>Under statutes with fee-shifting provisions, “it is well</w:t>
      </w:r>
      <w:r w:rsidR="003E1604" w:rsidRPr="00270013">
        <w:rPr>
          <w:szCs w:val="24"/>
        </w:rPr>
        <w:t xml:space="preserve"> settled</w:t>
      </w:r>
      <w:r w:rsidR="00ED0034" w:rsidRPr="00270013">
        <w:rPr>
          <w:szCs w:val="24"/>
        </w:rPr>
        <w:t xml:space="preserve"> that a prevailing </w:t>
      </w:r>
      <w:r w:rsidR="003E1604" w:rsidRPr="00270013">
        <w:rPr>
          <w:szCs w:val="24"/>
        </w:rPr>
        <w:t xml:space="preserve">[party] </w:t>
      </w:r>
      <w:r w:rsidR="00ED0034" w:rsidRPr="00270013">
        <w:rPr>
          <w:szCs w:val="24"/>
        </w:rPr>
        <w:t>should recover an award of attorney’</w:t>
      </w:r>
      <w:r w:rsidR="003E1604" w:rsidRPr="00270013">
        <w:rPr>
          <w:szCs w:val="24"/>
        </w:rPr>
        <w:t>s</w:t>
      </w:r>
      <w:r w:rsidR="00ED0034" w:rsidRPr="00270013">
        <w:rPr>
          <w:szCs w:val="24"/>
        </w:rPr>
        <w:t xml:space="preserve"> fees absent special circumstances.” </w:t>
      </w:r>
      <w:r w:rsidR="00ED0034" w:rsidRPr="00270013">
        <w:rPr>
          <w:i/>
          <w:iCs/>
          <w:szCs w:val="24"/>
        </w:rPr>
        <w:t xml:space="preserve">Truesdell v. </w:t>
      </w:r>
      <w:r w:rsidR="003E1604" w:rsidRPr="00270013">
        <w:rPr>
          <w:i/>
          <w:iCs/>
          <w:szCs w:val="24"/>
        </w:rPr>
        <w:t xml:space="preserve">Phila. </w:t>
      </w:r>
      <w:r w:rsidR="00ED0034" w:rsidRPr="00270013">
        <w:rPr>
          <w:i/>
          <w:iCs/>
          <w:szCs w:val="24"/>
        </w:rPr>
        <w:t>Hous</w:t>
      </w:r>
      <w:r w:rsidR="003E1604" w:rsidRPr="00270013">
        <w:rPr>
          <w:i/>
          <w:iCs/>
          <w:szCs w:val="24"/>
        </w:rPr>
        <w:t>.</w:t>
      </w:r>
      <w:r w:rsidR="00ED0034" w:rsidRPr="00270013">
        <w:rPr>
          <w:i/>
          <w:iCs/>
          <w:szCs w:val="24"/>
        </w:rPr>
        <w:t xml:space="preserve"> Auth</w:t>
      </w:r>
      <w:r w:rsidR="003E1604" w:rsidRPr="00270013">
        <w:rPr>
          <w:i/>
          <w:iCs/>
          <w:szCs w:val="24"/>
        </w:rPr>
        <w:t>.</w:t>
      </w:r>
      <w:r w:rsidR="00ED0034" w:rsidRPr="00270013">
        <w:rPr>
          <w:szCs w:val="24"/>
        </w:rPr>
        <w:t>, 290 F.3d 159, 163 (3d Cir. 2002)</w:t>
      </w:r>
      <w:r w:rsidR="00A07242" w:rsidRPr="00270013">
        <w:rPr>
          <w:szCs w:val="24"/>
        </w:rPr>
        <w:fldChar w:fldCharType="begin"/>
      </w:r>
      <w:r w:rsidR="00A07242" w:rsidRPr="00270013">
        <w:rPr>
          <w:szCs w:val="24"/>
        </w:rPr>
        <w:instrText xml:space="preserve"> TA \l "</w:instrText>
      </w:r>
      <w:r w:rsidR="00A07242" w:rsidRPr="00270013">
        <w:rPr>
          <w:i/>
          <w:iCs/>
          <w:szCs w:val="24"/>
        </w:rPr>
        <w:instrText>Truesdell v. Phila. Hous. Auth.</w:instrText>
      </w:r>
      <w:r w:rsidR="00A07242" w:rsidRPr="00270013">
        <w:rPr>
          <w:szCs w:val="24"/>
        </w:rPr>
        <w:instrText xml:space="preserve">, </w:instrText>
      </w:r>
      <w:r w:rsidR="00A07242" w:rsidRPr="00270013">
        <w:rPr>
          <w:szCs w:val="24"/>
        </w:rPr>
        <w:br/>
        <w:instrText xml:space="preserve">290 F.3d 159 (3d Cir. 2002)" \s "Truesdell v. Phila. Hous. Auth., 290 F.3d 159, 163 (3d Cir. 2002)" \c 1 </w:instrText>
      </w:r>
      <w:r w:rsidR="00A07242" w:rsidRPr="00270013">
        <w:rPr>
          <w:szCs w:val="24"/>
        </w:rPr>
        <w:fldChar w:fldCharType="end"/>
      </w:r>
      <w:r w:rsidR="00ED0034" w:rsidRPr="00270013">
        <w:rPr>
          <w:szCs w:val="24"/>
        </w:rPr>
        <w:t xml:space="preserve">; </w:t>
      </w:r>
      <w:r w:rsidR="00ED0034" w:rsidRPr="00270013">
        <w:rPr>
          <w:i/>
          <w:iCs/>
          <w:szCs w:val="24"/>
        </w:rPr>
        <w:t>accord People Against Police Violence v. City of Pittsburgh</w:t>
      </w:r>
      <w:r w:rsidR="00ED0034" w:rsidRPr="00270013">
        <w:rPr>
          <w:szCs w:val="24"/>
        </w:rPr>
        <w:t>, 520 F.3d 226, 232 (3d Cir. 2008)</w:t>
      </w:r>
      <w:r w:rsidR="00A07242" w:rsidRPr="00270013">
        <w:rPr>
          <w:szCs w:val="24"/>
        </w:rPr>
        <w:fldChar w:fldCharType="begin"/>
      </w:r>
      <w:r w:rsidR="00A07242" w:rsidRPr="00270013">
        <w:rPr>
          <w:szCs w:val="24"/>
        </w:rPr>
        <w:instrText xml:space="preserve"> TA \l "</w:instrText>
      </w:r>
      <w:r w:rsidR="00A07242" w:rsidRPr="00270013">
        <w:rPr>
          <w:i/>
          <w:iCs/>
          <w:szCs w:val="24"/>
        </w:rPr>
        <w:instrText>People Against Police Violence v. City of Pittsburgh</w:instrText>
      </w:r>
      <w:r w:rsidR="00A07242" w:rsidRPr="00270013">
        <w:rPr>
          <w:i/>
          <w:iCs/>
          <w:szCs w:val="24"/>
        </w:rPr>
        <w:br/>
      </w:r>
      <w:r w:rsidR="00A07242" w:rsidRPr="00270013">
        <w:rPr>
          <w:szCs w:val="24"/>
        </w:rPr>
        <w:instrText xml:space="preserve">520 F.3d 226 (3d Cir. 2008)" \s "People Against Police Violence v. City of Pittsburgh, 520 F.3d 226, 232 (3d Cir. 2008)" \c 1 </w:instrText>
      </w:r>
      <w:r w:rsidR="00A07242" w:rsidRPr="00270013">
        <w:rPr>
          <w:szCs w:val="24"/>
        </w:rPr>
        <w:fldChar w:fldCharType="end"/>
      </w:r>
      <w:r w:rsidR="00ED0034" w:rsidRPr="00270013">
        <w:rPr>
          <w:szCs w:val="24"/>
        </w:rPr>
        <w:t xml:space="preserve">. </w:t>
      </w:r>
      <w:r w:rsidRPr="00270013">
        <w:rPr>
          <w:szCs w:val="24"/>
        </w:rPr>
        <w:t>A plaintiff is a “prevailing party” if “they succeed on any significant issue in litigation which achieves some of the benefit the [p</w:t>
      </w:r>
      <w:r w:rsidR="005A7940" w:rsidRPr="00270013">
        <w:rPr>
          <w:szCs w:val="24"/>
        </w:rPr>
        <w:t>laintiff</w:t>
      </w:r>
      <w:r w:rsidRPr="00270013">
        <w:rPr>
          <w:szCs w:val="24"/>
        </w:rPr>
        <w:t xml:space="preserve">] sought in bringing suit.” </w:t>
      </w:r>
      <w:r w:rsidRPr="00270013">
        <w:rPr>
          <w:i/>
          <w:iCs/>
          <w:szCs w:val="24"/>
        </w:rPr>
        <w:t>Hensley v. Eckerhart</w:t>
      </w:r>
      <w:r w:rsidRPr="00270013">
        <w:rPr>
          <w:szCs w:val="24"/>
        </w:rPr>
        <w:t>, 461 U.S. 424, 433</w:t>
      </w:r>
      <w:r w:rsidR="00F9078C" w:rsidRPr="00270013">
        <w:rPr>
          <w:szCs w:val="24"/>
        </w:rPr>
        <w:t xml:space="preserve"> </w:t>
      </w:r>
      <w:r w:rsidRPr="00270013">
        <w:rPr>
          <w:szCs w:val="24"/>
        </w:rPr>
        <w:t>(1983).</w:t>
      </w:r>
      <w:r w:rsidR="00A07242" w:rsidRPr="00270013">
        <w:rPr>
          <w:szCs w:val="24"/>
        </w:rPr>
        <w:fldChar w:fldCharType="begin"/>
      </w:r>
      <w:r w:rsidR="00A07242" w:rsidRPr="00270013">
        <w:rPr>
          <w:szCs w:val="24"/>
        </w:rPr>
        <w:instrText xml:space="preserve"> TA \l "</w:instrText>
      </w:r>
      <w:r w:rsidR="00A07242" w:rsidRPr="00270013">
        <w:rPr>
          <w:i/>
          <w:iCs/>
          <w:szCs w:val="24"/>
        </w:rPr>
        <w:instrText>Hensley v. Eckerhart</w:instrText>
      </w:r>
      <w:r w:rsidR="00A07242" w:rsidRPr="00270013">
        <w:rPr>
          <w:i/>
          <w:iCs/>
          <w:szCs w:val="24"/>
        </w:rPr>
        <w:br/>
      </w:r>
      <w:r w:rsidR="00A07242" w:rsidRPr="00270013">
        <w:rPr>
          <w:szCs w:val="24"/>
        </w:rPr>
        <w:instrText xml:space="preserve">461 U.S. 424 (1983)" \s "Hensley v. Eckerhart, 461 U.S. 424, 433 (1983)." \c 1 </w:instrText>
      </w:r>
      <w:r w:rsidR="00A07242" w:rsidRPr="00270013">
        <w:rPr>
          <w:szCs w:val="24"/>
        </w:rPr>
        <w:fldChar w:fldCharType="end"/>
      </w:r>
      <w:r w:rsidR="00B55AEC" w:rsidRPr="00270013">
        <w:rPr>
          <w:szCs w:val="24"/>
        </w:rPr>
        <w:t xml:space="preserve"> “To ‘succeed’ </w:t>
      </w:r>
      <w:r w:rsidR="005D0801" w:rsidRPr="00270013">
        <w:rPr>
          <w:szCs w:val="24"/>
        </w:rPr>
        <w:t xml:space="preserve">. . . </w:t>
      </w:r>
      <w:r w:rsidR="00B55AEC" w:rsidRPr="00270013">
        <w:rPr>
          <w:szCs w:val="24"/>
        </w:rPr>
        <w:t xml:space="preserve">, a party must achieve a court-ordered change in the legal relationship between the plaintiff and the defendant.” </w:t>
      </w:r>
      <w:r w:rsidR="00B55AEC" w:rsidRPr="00270013">
        <w:rPr>
          <w:i/>
          <w:iCs/>
          <w:szCs w:val="24"/>
        </w:rPr>
        <w:t>People Against Police Violence</w:t>
      </w:r>
      <w:r w:rsidR="00B55AEC" w:rsidRPr="00270013">
        <w:rPr>
          <w:szCs w:val="24"/>
        </w:rPr>
        <w:t>, 520 F.3d at 232</w:t>
      </w:r>
      <w:r w:rsidR="00A07242" w:rsidRPr="00270013">
        <w:rPr>
          <w:szCs w:val="24"/>
        </w:rPr>
        <w:fldChar w:fldCharType="begin"/>
      </w:r>
      <w:r w:rsidR="00A07242" w:rsidRPr="00270013">
        <w:rPr>
          <w:szCs w:val="24"/>
        </w:rPr>
        <w:instrText xml:space="preserve"> TA \s "People Against Police Violence v. City of Pittsburgh, 520 F.3d 226, 232 (3d Cir. 2008)" </w:instrText>
      </w:r>
      <w:r w:rsidR="00A07242" w:rsidRPr="00270013">
        <w:rPr>
          <w:szCs w:val="24"/>
        </w:rPr>
        <w:fldChar w:fldCharType="end"/>
      </w:r>
      <w:r w:rsidR="00B55AEC" w:rsidRPr="00270013">
        <w:rPr>
          <w:szCs w:val="24"/>
        </w:rPr>
        <w:t xml:space="preserve"> (</w:t>
      </w:r>
      <w:r w:rsidR="005D0801" w:rsidRPr="00270013">
        <w:rPr>
          <w:szCs w:val="24"/>
        </w:rPr>
        <w:t xml:space="preserve">quotation marks and </w:t>
      </w:r>
      <w:r w:rsidR="00B55AEC" w:rsidRPr="00270013">
        <w:rPr>
          <w:szCs w:val="24"/>
        </w:rPr>
        <w:t>citation</w:t>
      </w:r>
      <w:r w:rsidR="005D0801" w:rsidRPr="00270013">
        <w:rPr>
          <w:szCs w:val="24"/>
        </w:rPr>
        <w:t>s</w:t>
      </w:r>
      <w:r w:rsidR="00B55AEC" w:rsidRPr="00270013">
        <w:rPr>
          <w:szCs w:val="24"/>
        </w:rPr>
        <w:t xml:space="preserve"> omitted).</w:t>
      </w:r>
    </w:p>
    <w:p w14:paraId="09B528BF" w14:textId="26A1A9A2" w:rsidR="00B55AEC" w:rsidRPr="00E56C95" w:rsidRDefault="00B55AEC" w:rsidP="007A5075">
      <w:pPr>
        <w:spacing w:line="480" w:lineRule="auto"/>
        <w:ind w:firstLine="720"/>
        <w:jc w:val="both"/>
        <w:rPr>
          <w:szCs w:val="24"/>
        </w:rPr>
      </w:pPr>
      <w:r w:rsidRPr="00063D93">
        <w:rPr>
          <w:szCs w:val="24"/>
        </w:rPr>
        <w:t>When a court approves a settlement agreement and retains jurisdiction</w:t>
      </w:r>
      <w:r w:rsidR="006512C3" w:rsidRPr="00063D93">
        <w:rPr>
          <w:szCs w:val="24"/>
        </w:rPr>
        <w:t xml:space="preserve"> to enforce its terms</w:t>
      </w:r>
      <w:r w:rsidRPr="00063D93">
        <w:rPr>
          <w:szCs w:val="24"/>
        </w:rPr>
        <w:t xml:space="preserve">, there is a judicially-sanctioned material alteration in the legal relationship of the parties sufficient to confer prevailing party status on the plaintiff under fee-shifting statutes, such as the ADA. </w:t>
      </w:r>
      <w:r w:rsidRPr="00063D93">
        <w:rPr>
          <w:i/>
          <w:iCs/>
          <w:szCs w:val="24"/>
        </w:rPr>
        <w:t>Truesdell</w:t>
      </w:r>
      <w:r w:rsidRPr="00063D93">
        <w:rPr>
          <w:szCs w:val="24"/>
        </w:rPr>
        <w:t>, 290 F.3d at 164</w:t>
      </w:r>
      <w:r w:rsidR="00987650" w:rsidRPr="00063D93">
        <w:rPr>
          <w:szCs w:val="24"/>
        </w:rPr>
        <w:t>-</w:t>
      </w:r>
      <w:r w:rsidRPr="00063D93">
        <w:rPr>
          <w:szCs w:val="24"/>
        </w:rPr>
        <w:t>65</w:t>
      </w:r>
      <w:r w:rsidR="00A07242" w:rsidRPr="00063D93">
        <w:rPr>
          <w:szCs w:val="24"/>
        </w:rPr>
        <w:fldChar w:fldCharType="begin"/>
      </w:r>
      <w:r w:rsidR="00A07242" w:rsidRPr="00063D93">
        <w:rPr>
          <w:szCs w:val="24"/>
        </w:rPr>
        <w:instrText xml:space="preserve"> TA \s "Truesdell v. Phila. Hous. Auth., 290 F.3d 159, 163 (3d Cir. 2002)" </w:instrText>
      </w:r>
      <w:r w:rsidR="00A07242" w:rsidRPr="00063D93">
        <w:rPr>
          <w:szCs w:val="24"/>
        </w:rPr>
        <w:fldChar w:fldCharType="end"/>
      </w:r>
      <w:r w:rsidRPr="00063D93">
        <w:rPr>
          <w:szCs w:val="24"/>
        </w:rPr>
        <w:t xml:space="preserve">; </w:t>
      </w:r>
      <w:r w:rsidRPr="00063D93">
        <w:rPr>
          <w:i/>
          <w:iCs/>
          <w:szCs w:val="24"/>
        </w:rPr>
        <w:t>P.N. v. Clementon Bd. of Educ</w:t>
      </w:r>
      <w:r w:rsidRPr="00063D93">
        <w:rPr>
          <w:szCs w:val="24"/>
        </w:rPr>
        <w:t xml:space="preserve">., 442 F.3d </w:t>
      </w:r>
      <w:r w:rsidR="00E2783F" w:rsidRPr="00063D93">
        <w:rPr>
          <w:szCs w:val="24"/>
        </w:rPr>
        <w:t>848, 853 (3d Cir.</w:t>
      </w:r>
      <w:r w:rsidR="000269E1" w:rsidRPr="00063D93">
        <w:rPr>
          <w:szCs w:val="24"/>
        </w:rPr>
        <w:t xml:space="preserve"> 2006</w:t>
      </w:r>
      <w:r w:rsidR="00E2783F" w:rsidRPr="00063D93">
        <w:rPr>
          <w:szCs w:val="24"/>
        </w:rPr>
        <w:t xml:space="preserve">), </w:t>
      </w:r>
      <w:r w:rsidR="00E2783F" w:rsidRPr="00063D93">
        <w:rPr>
          <w:i/>
          <w:iCs/>
          <w:szCs w:val="24"/>
        </w:rPr>
        <w:t>cert. denied</w:t>
      </w:r>
      <w:r w:rsidR="00E2783F" w:rsidRPr="00063D93">
        <w:rPr>
          <w:szCs w:val="24"/>
        </w:rPr>
        <w:t>, 549 U.S. 881 (2006)</w:t>
      </w:r>
      <w:r w:rsidR="00A07242" w:rsidRPr="00063D93">
        <w:rPr>
          <w:szCs w:val="24"/>
        </w:rPr>
        <w:fldChar w:fldCharType="begin"/>
      </w:r>
      <w:r w:rsidR="00A07242" w:rsidRPr="00063D93">
        <w:rPr>
          <w:szCs w:val="24"/>
        </w:rPr>
        <w:instrText xml:space="preserve"> TA \l "</w:instrText>
      </w:r>
      <w:r w:rsidR="00A07242" w:rsidRPr="00063D93">
        <w:rPr>
          <w:i/>
          <w:iCs/>
          <w:szCs w:val="24"/>
        </w:rPr>
        <w:instrText>P.N. v. Clementon Bd. of Educ</w:instrText>
      </w:r>
      <w:r w:rsidR="00A07242" w:rsidRPr="00063D93">
        <w:rPr>
          <w:szCs w:val="24"/>
        </w:rPr>
        <w:instrText>.</w:instrText>
      </w:r>
      <w:r w:rsidR="00A07242" w:rsidRPr="00063D93">
        <w:rPr>
          <w:szCs w:val="24"/>
        </w:rPr>
        <w:br/>
        <w:instrText xml:space="preserve">442 F.3d 848, 853 (3d Cir.), </w:instrText>
      </w:r>
      <w:r w:rsidR="00A07242" w:rsidRPr="00063D93">
        <w:rPr>
          <w:i/>
          <w:iCs/>
          <w:szCs w:val="24"/>
        </w:rPr>
        <w:instrText>cert. denied</w:instrText>
      </w:r>
      <w:r w:rsidR="00A07242" w:rsidRPr="00063D93">
        <w:rPr>
          <w:szCs w:val="24"/>
        </w:rPr>
        <w:instrText xml:space="preserve">, 549 U.S. 881 (2006)" \s "P.N. v. Clementon Bd. of Educ., 442 F.3d 848, 853 (3d Cir.), cert. denied, 549 U.S. 881 (2006)" \c 1 </w:instrText>
      </w:r>
      <w:r w:rsidR="00A07242" w:rsidRPr="00063D93">
        <w:rPr>
          <w:szCs w:val="24"/>
        </w:rPr>
        <w:fldChar w:fldCharType="end"/>
      </w:r>
      <w:r w:rsidR="00E2783F" w:rsidRPr="00063D93">
        <w:rPr>
          <w:szCs w:val="24"/>
        </w:rPr>
        <w:t xml:space="preserve">; </w:t>
      </w:r>
      <w:r w:rsidR="00E2783F" w:rsidRPr="00063D93">
        <w:rPr>
          <w:i/>
          <w:iCs/>
          <w:szCs w:val="24"/>
        </w:rPr>
        <w:t>Arc of Del</w:t>
      </w:r>
      <w:r w:rsidR="003E1604" w:rsidRPr="00063D93">
        <w:rPr>
          <w:i/>
          <w:iCs/>
          <w:szCs w:val="24"/>
        </w:rPr>
        <w:t>.</w:t>
      </w:r>
      <w:r w:rsidR="00E2783F" w:rsidRPr="00063D93">
        <w:rPr>
          <w:i/>
          <w:iCs/>
          <w:szCs w:val="24"/>
        </w:rPr>
        <w:t xml:space="preserve"> v. Meconi</w:t>
      </w:r>
      <w:r w:rsidR="00E2783F" w:rsidRPr="00063D93">
        <w:rPr>
          <w:szCs w:val="24"/>
        </w:rPr>
        <w:t>, No. 02-</w:t>
      </w:r>
      <w:r w:rsidR="008E3463" w:rsidRPr="00063D93">
        <w:rPr>
          <w:szCs w:val="24"/>
        </w:rPr>
        <w:t>cv-00</w:t>
      </w:r>
      <w:r w:rsidR="00E2783F" w:rsidRPr="00063D93">
        <w:rPr>
          <w:szCs w:val="24"/>
        </w:rPr>
        <w:t xml:space="preserve">255, 2005 </w:t>
      </w:r>
      <w:r w:rsidR="003E1604" w:rsidRPr="00063D93">
        <w:rPr>
          <w:szCs w:val="24"/>
        </w:rPr>
        <w:t>U.S. Dist. LEXIS</w:t>
      </w:r>
      <w:r w:rsidR="00E2783F" w:rsidRPr="00063D93">
        <w:rPr>
          <w:szCs w:val="24"/>
        </w:rPr>
        <w:t xml:space="preserve"> </w:t>
      </w:r>
      <w:r w:rsidR="003E1604" w:rsidRPr="00063D93">
        <w:rPr>
          <w:szCs w:val="24"/>
        </w:rPr>
        <w:t>39039</w:t>
      </w:r>
      <w:r w:rsidR="003720B1" w:rsidRPr="00063D93">
        <w:rPr>
          <w:szCs w:val="24"/>
        </w:rPr>
        <w:t>,</w:t>
      </w:r>
      <w:r w:rsidR="003E1604" w:rsidRPr="00063D93">
        <w:rPr>
          <w:szCs w:val="24"/>
        </w:rPr>
        <w:t xml:space="preserve"> </w:t>
      </w:r>
      <w:r w:rsidR="00E2783F" w:rsidRPr="00063D93">
        <w:rPr>
          <w:szCs w:val="24"/>
        </w:rPr>
        <w:t>at *</w:t>
      </w:r>
      <w:r w:rsidR="003E1604" w:rsidRPr="00063D93">
        <w:rPr>
          <w:szCs w:val="24"/>
        </w:rPr>
        <w:t>7-12</w:t>
      </w:r>
      <w:r w:rsidR="00E2783F" w:rsidRPr="00063D93">
        <w:rPr>
          <w:szCs w:val="24"/>
        </w:rPr>
        <w:t xml:space="preserve"> (D. Del. June 13, 2005)</w:t>
      </w:r>
      <w:r w:rsidR="00A07242" w:rsidRPr="00063D93">
        <w:rPr>
          <w:szCs w:val="24"/>
        </w:rPr>
        <w:fldChar w:fldCharType="begin"/>
      </w:r>
      <w:r w:rsidR="00A07242" w:rsidRPr="00063D93">
        <w:rPr>
          <w:szCs w:val="24"/>
        </w:rPr>
        <w:instrText xml:space="preserve"> TA \l "</w:instrText>
      </w:r>
      <w:r w:rsidR="00A07242" w:rsidRPr="00063D93">
        <w:rPr>
          <w:i/>
          <w:iCs/>
          <w:szCs w:val="24"/>
        </w:rPr>
        <w:instrText>Arc of Del. v. Meconi</w:instrText>
      </w:r>
      <w:r w:rsidR="00A07242" w:rsidRPr="00063D93">
        <w:rPr>
          <w:i/>
          <w:iCs/>
          <w:szCs w:val="24"/>
        </w:rPr>
        <w:br/>
      </w:r>
      <w:r w:rsidR="00A07242" w:rsidRPr="00063D93">
        <w:rPr>
          <w:szCs w:val="24"/>
        </w:rPr>
        <w:instrText xml:space="preserve">No. 02-255-KAJ, 2005 U.S. Dist. LEXIS 39039 (D. Del. June 13, 2005)" \s "Arc of Del. v. Meconi, No. 02-255-KAJ, 2005 U.S. Dist. LEXIS 39039 at *7-12 (D. Del. June 13, 2005)" \c 1 </w:instrText>
      </w:r>
      <w:r w:rsidR="00A07242" w:rsidRPr="00063D93">
        <w:rPr>
          <w:szCs w:val="24"/>
        </w:rPr>
        <w:fldChar w:fldCharType="end"/>
      </w:r>
      <w:r w:rsidR="00E2783F" w:rsidRPr="00063D93">
        <w:rPr>
          <w:szCs w:val="24"/>
        </w:rPr>
        <w:t xml:space="preserve">; </w:t>
      </w:r>
      <w:r w:rsidR="00E2783F" w:rsidRPr="00063D93">
        <w:rPr>
          <w:i/>
          <w:iCs/>
          <w:szCs w:val="24"/>
        </w:rPr>
        <w:t>Witcher v. Phil</w:t>
      </w:r>
      <w:r w:rsidR="003E1604" w:rsidRPr="00063D93">
        <w:rPr>
          <w:i/>
          <w:iCs/>
          <w:szCs w:val="24"/>
        </w:rPr>
        <w:t>a.</w:t>
      </w:r>
      <w:r w:rsidR="00E2783F" w:rsidRPr="00063D93">
        <w:rPr>
          <w:i/>
          <w:iCs/>
          <w:szCs w:val="24"/>
        </w:rPr>
        <w:t xml:space="preserve"> Hous</w:t>
      </w:r>
      <w:r w:rsidR="003E1604" w:rsidRPr="00063D93">
        <w:rPr>
          <w:i/>
          <w:iCs/>
          <w:szCs w:val="24"/>
        </w:rPr>
        <w:t>.</w:t>
      </w:r>
      <w:r w:rsidR="00E2783F" w:rsidRPr="00063D93">
        <w:rPr>
          <w:i/>
          <w:iCs/>
          <w:szCs w:val="24"/>
        </w:rPr>
        <w:t xml:space="preserve"> Auth</w:t>
      </w:r>
      <w:r w:rsidR="003E1604" w:rsidRPr="00063D93">
        <w:rPr>
          <w:i/>
          <w:iCs/>
          <w:szCs w:val="24"/>
        </w:rPr>
        <w:t>.</w:t>
      </w:r>
      <w:r w:rsidR="00E2783F" w:rsidRPr="00063D93">
        <w:rPr>
          <w:szCs w:val="24"/>
        </w:rPr>
        <w:t>, No. 01-cv-</w:t>
      </w:r>
      <w:r w:rsidR="00987650" w:rsidRPr="00063D93">
        <w:rPr>
          <w:szCs w:val="24"/>
        </w:rPr>
        <w:t>00</w:t>
      </w:r>
      <w:r w:rsidR="00E2783F" w:rsidRPr="00063D93">
        <w:rPr>
          <w:szCs w:val="24"/>
        </w:rPr>
        <w:t xml:space="preserve">585, 2002 </w:t>
      </w:r>
      <w:r w:rsidR="003E1604" w:rsidRPr="00063D93">
        <w:rPr>
          <w:szCs w:val="24"/>
        </w:rPr>
        <w:t xml:space="preserve">U.S. </w:t>
      </w:r>
      <w:r w:rsidR="003E1604" w:rsidRPr="00E56C95">
        <w:rPr>
          <w:szCs w:val="24"/>
        </w:rPr>
        <w:t>Dist. LEXIS 16262</w:t>
      </w:r>
      <w:r w:rsidR="00605B4B" w:rsidRPr="00E56C95">
        <w:rPr>
          <w:szCs w:val="24"/>
        </w:rPr>
        <w:t>,</w:t>
      </w:r>
      <w:r w:rsidR="003E1604" w:rsidRPr="00E56C95">
        <w:rPr>
          <w:szCs w:val="24"/>
        </w:rPr>
        <w:t xml:space="preserve"> </w:t>
      </w:r>
      <w:r w:rsidR="00E2783F" w:rsidRPr="00E56C95">
        <w:rPr>
          <w:szCs w:val="24"/>
        </w:rPr>
        <w:t>at *</w:t>
      </w:r>
      <w:r w:rsidR="003E1604" w:rsidRPr="00E56C95">
        <w:rPr>
          <w:szCs w:val="24"/>
        </w:rPr>
        <w:t>4</w:t>
      </w:r>
      <w:r w:rsidR="00E2783F" w:rsidRPr="00E56C95">
        <w:rPr>
          <w:szCs w:val="24"/>
        </w:rPr>
        <w:t>-</w:t>
      </w:r>
      <w:r w:rsidR="003E1604" w:rsidRPr="00E56C95">
        <w:rPr>
          <w:szCs w:val="24"/>
        </w:rPr>
        <w:t>6</w:t>
      </w:r>
      <w:r w:rsidR="00E2783F" w:rsidRPr="00E56C95">
        <w:rPr>
          <w:szCs w:val="24"/>
        </w:rPr>
        <w:t xml:space="preserve"> (E.D. Pa. Aug. 19, 2002)</w:t>
      </w:r>
      <w:r w:rsidR="00A603DD" w:rsidRPr="00E56C95">
        <w:rPr>
          <w:szCs w:val="24"/>
        </w:rPr>
        <w:fldChar w:fldCharType="begin"/>
      </w:r>
      <w:r w:rsidR="00A603DD" w:rsidRPr="00E56C95">
        <w:rPr>
          <w:szCs w:val="24"/>
        </w:rPr>
        <w:instrText xml:space="preserve"> TA \l "</w:instrText>
      </w:r>
      <w:r w:rsidR="00A603DD" w:rsidRPr="00E56C95">
        <w:rPr>
          <w:i/>
          <w:iCs/>
          <w:szCs w:val="24"/>
        </w:rPr>
        <w:instrText>Witcher v. Phila. Hous. Auth.</w:instrText>
      </w:r>
      <w:r w:rsidR="00A603DD" w:rsidRPr="00E56C95">
        <w:rPr>
          <w:i/>
          <w:iCs/>
          <w:szCs w:val="24"/>
        </w:rPr>
        <w:br/>
      </w:r>
      <w:r w:rsidR="00A603DD" w:rsidRPr="00E56C95">
        <w:rPr>
          <w:szCs w:val="24"/>
        </w:rPr>
        <w:instrText xml:space="preserve">No. 01-cv-585, 2002 U.S. Dist. LEXIS 16262 (E.D. Pa. Aug. 19, 2002)" \s "Witcher v. Phila. Hous. Auth., No. 01-cv-585, 2002 U.S. Dist. LEXIS 16262 at *4-6 (E.D. Pa. Aug. 19, 2002)" \c 1 </w:instrText>
      </w:r>
      <w:r w:rsidR="00A603DD" w:rsidRPr="00E56C95">
        <w:rPr>
          <w:szCs w:val="24"/>
        </w:rPr>
        <w:fldChar w:fldCharType="end"/>
      </w:r>
      <w:r w:rsidR="00E2783F" w:rsidRPr="00E56C95">
        <w:rPr>
          <w:szCs w:val="24"/>
        </w:rPr>
        <w:t>.</w:t>
      </w:r>
    </w:p>
    <w:p w14:paraId="542AF92D" w14:textId="316DC336" w:rsidR="00ED0034" w:rsidRPr="005F1C9D" w:rsidRDefault="00B55AEC" w:rsidP="00A21A13">
      <w:pPr>
        <w:spacing w:line="480" w:lineRule="auto"/>
        <w:ind w:firstLine="720"/>
        <w:jc w:val="both"/>
        <w:rPr>
          <w:szCs w:val="24"/>
        </w:rPr>
      </w:pPr>
      <w:r w:rsidRPr="00E56C95">
        <w:rPr>
          <w:szCs w:val="24"/>
        </w:rPr>
        <w:t xml:space="preserve">The settlement obtained by Plaintiff meets this standard. The binding and enforceable </w:t>
      </w:r>
      <w:r w:rsidR="00021F0A" w:rsidRPr="00E56C95">
        <w:rPr>
          <w:szCs w:val="24"/>
        </w:rPr>
        <w:t>a</w:t>
      </w:r>
      <w:r w:rsidRPr="00E56C95">
        <w:rPr>
          <w:szCs w:val="24"/>
        </w:rPr>
        <w:t xml:space="preserve">greement that resolves this case </w:t>
      </w:r>
      <w:r w:rsidR="007A0592" w:rsidRPr="00E56C95">
        <w:rPr>
          <w:szCs w:val="24"/>
        </w:rPr>
        <w:t>materially alters</w:t>
      </w:r>
      <w:r w:rsidRPr="00E56C95">
        <w:rPr>
          <w:szCs w:val="24"/>
        </w:rPr>
        <w:t xml:space="preserve"> the legal relationship between Plaintiff and </w:t>
      </w:r>
      <w:r w:rsidR="00FB1429" w:rsidRPr="00E56C95">
        <w:rPr>
          <w:szCs w:val="24"/>
        </w:rPr>
        <w:t>Defendant</w:t>
      </w:r>
      <w:r w:rsidRPr="00E56C95">
        <w:rPr>
          <w:szCs w:val="24"/>
        </w:rPr>
        <w:t xml:space="preserve">. The Agreement obligates </w:t>
      </w:r>
      <w:r w:rsidR="00FB1429" w:rsidRPr="00E56C95">
        <w:rPr>
          <w:szCs w:val="24"/>
        </w:rPr>
        <w:t xml:space="preserve">Defendant </w:t>
      </w:r>
      <w:r w:rsidRPr="00E56C95">
        <w:rPr>
          <w:szCs w:val="24"/>
        </w:rPr>
        <w:t xml:space="preserve">to take concrete steps to benefit Plaintiff and other consumers who use screen reader auxiliary aids to shop online. </w:t>
      </w:r>
      <w:r w:rsidR="00FB1429" w:rsidRPr="00E56C95">
        <w:rPr>
          <w:szCs w:val="24"/>
        </w:rPr>
        <w:t xml:space="preserve">There is no evidence that Defendant </w:t>
      </w:r>
      <w:r w:rsidRPr="00E56C95">
        <w:rPr>
          <w:szCs w:val="24"/>
        </w:rPr>
        <w:lastRenderedPageBreak/>
        <w:t xml:space="preserve">would have taken these actions absent this litigation. </w:t>
      </w:r>
      <w:r w:rsidR="00E2783F" w:rsidRPr="00E56C95">
        <w:rPr>
          <w:szCs w:val="24"/>
        </w:rPr>
        <w:t>The Agreement also embodies the type of judicial involvement necessary to confer prevailing party status on Plaintiff. The Agreement must be approved and adopted by the Court</w:t>
      </w:r>
      <w:r w:rsidR="00106D78" w:rsidRPr="00E56C95">
        <w:rPr>
          <w:szCs w:val="24"/>
        </w:rPr>
        <w:t>,</w:t>
      </w:r>
      <w:r w:rsidR="00E2783F" w:rsidRPr="00E56C95">
        <w:rPr>
          <w:szCs w:val="24"/>
        </w:rPr>
        <w:t xml:space="preserve"> </w:t>
      </w:r>
      <w:r w:rsidR="00106D78" w:rsidRPr="005F1C9D">
        <w:rPr>
          <w:szCs w:val="24"/>
        </w:rPr>
        <w:t>(</w:t>
      </w:r>
      <w:r w:rsidR="00964B58" w:rsidRPr="005F1C9D">
        <w:rPr>
          <w:szCs w:val="24"/>
        </w:rPr>
        <w:t xml:space="preserve">Doc. </w:t>
      </w:r>
      <w:r w:rsidR="00E56C95" w:rsidRPr="005F1C9D">
        <w:rPr>
          <w:szCs w:val="24"/>
        </w:rPr>
        <w:t>12</w:t>
      </w:r>
      <w:r w:rsidR="00964B58" w:rsidRPr="005F1C9D">
        <w:rPr>
          <w:szCs w:val="24"/>
        </w:rPr>
        <w:t>-1</w:t>
      </w:r>
      <w:r w:rsidR="00D709DA" w:rsidRPr="005F1C9D">
        <w:rPr>
          <w:szCs w:val="24"/>
        </w:rPr>
        <w:t>, §</w:t>
      </w:r>
      <w:r w:rsidR="00C93FDD" w:rsidRPr="005F1C9D">
        <w:rPr>
          <w:szCs w:val="24"/>
        </w:rPr>
        <w:t>§ 3,</w:t>
      </w:r>
      <w:r w:rsidR="00106D78" w:rsidRPr="005F1C9D">
        <w:rPr>
          <w:szCs w:val="24"/>
        </w:rPr>
        <w:t xml:space="preserve"> 2</w:t>
      </w:r>
      <w:r w:rsidR="005F1C9D" w:rsidRPr="005F1C9D">
        <w:rPr>
          <w:szCs w:val="24"/>
        </w:rPr>
        <w:t>6</w:t>
      </w:r>
      <w:r w:rsidR="00E2783F" w:rsidRPr="005F1C9D">
        <w:rPr>
          <w:szCs w:val="24"/>
        </w:rPr>
        <w:t>)</w:t>
      </w:r>
      <w:r w:rsidR="00106D78" w:rsidRPr="005F1C9D">
        <w:rPr>
          <w:szCs w:val="24"/>
        </w:rPr>
        <w:t xml:space="preserve">, and cannot be </w:t>
      </w:r>
      <w:r w:rsidR="00EF16FC" w:rsidRPr="005F1C9D">
        <w:rPr>
          <w:szCs w:val="24"/>
        </w:rPr>
        <w:t>amended</w:t>
      </w:r>
      <w:r w:rsidR="00106D78" w:rsidRPr="005F1C9D">
        <w:rPr>
          <w:szCs w:val="24"/>
        </w:rPr>
        <w:t xml:space="preserve"> “unless </w:t>
      </w:r>
      <w:r w:rsidR="005F1C9D" w:rsidRPr="005F1C9D">
        <w:rPr>
          <w:szCs w:val="24"/>
        </w:rPr>
        <w:t>[</w:t>
      </w:r>
      <w:r w:rsidR="00EF16FC" w:rsidRPr="005F1C9D">
        <w:rPr>
          <w:szCs w:val="24"/>
        </w:rPr>
        <w:t>such amendment</w:t>
      </w:r>
      <w:r w:rsidR="005F1C9D" w:rsidRPr="005F1C9D">
        <w:rPr>
          <w:szCs w:val="24"/>
        </w:rPr>
        <w:t>]</w:t>
      </w:r>
      <w:r w:rsidR="00106D78" w:rsidRPr="005F1C9D">
        <w:rPr>
          <w:szCs w:val="24"/>
        </w:rPr>
        <w:t xml:space="preserve"> is pursuant to Court </w:t>
      </w:r>
      <w:r w:rsidR="005F1C9D" w:rsidRPr="005F1C9D">
        <w:rPr>
          <w:szCs w:val="24"/>
        </w:rPr>
        <w:t>O</w:t>
      </w:r>
      <w:r w:rsidR="00106D78" w:rsidRPr="005F1C9D">
        <w:rPr>
          <w:szCs w:val="24"/>
        </w:rPr>
        <w:t>rder</w:t>
      </w:r>
      <w:r w:rsidR="00C93FDD" w:rsidRPr="005F1C9D">
        <w:rPr>
          <w:szCs w:val="24"/>
        </w:rPr>
        <w:t>,</w:t>
      </w:r>
      <w:r w:rsidR="00106D78" w:rsidRPr="005F1C9D">
        <w:rPr>
          <w:szCs w:val="24"/>
        </w:rPr>
        <w:t xml:space="preserve">” </w:t>
      </w:r>
      <w:r w:rsidR="00964B58" w:rsidRPr="005F1C9D">
        <w:rPr>
          <w:szCs w:val="24"/>
        </w:rPr>
        <w:t>(</w:t>
      </w:r>
      <w:r w:rsidR="00C93FDD" w:rsidRPr="005F1C9D">
        <w:rPr>
          <w:i/>
          <w:iCs/>
          <w:szCs w:val="24"/>
        </w:rPr>
        <w:t>i</w:t>
      </w:r>
      <w:r w:rsidR="00106D78" w:rsidRPr="005F1C9D">
        <w:rPr>
          <w:i/>
          <w:iCs/>
          <w:szCs w:val="24"/>
        </w:rPr>
        <w:t>d</w:t>
      </w:r>
      <w:r w:rsidR="00106D78" w:rsidRPr="005F1C9D">
        <w:rPr>
          <w:szCs w:val="24"/>
        </w:rPr>
        <w:t>.</w:t>
      </w:r>
      <w:r w:rsidR="00D709DA" w:rsidRPr="005F1C9D">
        <w:rPr>
          <w:szCs w:val="24"/>
        </w:rPr>
        <w:t>, §</w:t>
      </w:r>
      <w:r w:rsidR="00106D78" w:rsidRPr="005F1C9D">
        <w:rPr>
          <w:szCs w:val="24"/>
        </w:rPr>
        <w:t xml:space="preserve"> </w:t>
      </w:r>
      <w:r w:rsidR="00EF16FC" w:rsidRPr="005F1C9D">
        <w:rPr>
          <w:szCs w:val="24"/>
        </w:rPr>
        <w:t>3</w:t>
      </w:r>
      <w:r w:rsidR="005F1C9D" w:rsidRPr="005F1C9D">
        <w:rPr>
          <w:szCs w:val="24"/>
        </w:rPr>
        <w:t>1</w:t>
      </w:r>
      <w:r w:rsidR="00964B58" w:rsidRPr="005F1C9D">
        <w:rPr>
          <w:szCs w:val="24"/>
        </w:rPr>
        <w:t>)</w:t>
      </w:r>
      <w:r w:rsidR="00C93FDD" w:rsidRPr="005F1C9D">
        <w:rPr>
          <w:szCs w:val="24"/>
        </w:rPr>
        <w:t>.</w:t>
      </w:r>
      <w:r w:rsidR="00E2783F" w:rsidRPr="005F1C9D">
        <w:rPr>
          <w:szCs w:val="24"/>
        </w:rPr>
        <w:t xml:space="preserve"> </w:t>
      </w:r>
      <w:r w:rsidR="0039182A" w:rsidRPr="005F1C9D">
        <w:rPr>
          <w:szCs w:val="24"/>
        </w:rPr>
        <w:t>In addition, t</w:t>
      </w:r>
      <w:r w:rsidR="00E2783F" w:rsidRPr="005F1C9D">
        <w:rPr>
          <w:szCs w:val="24"/>
        </w:rPr>
        <w:t xml:space="preserve">he Agreement </w:t>
      </w:r>
      <w:r w:rsidR="0039182A" w:rsidRPr="005F1C9D">
        <w:rPr>
          <w:szCs w:val="24"/>
        </w:rPr>
        <w:t>stat</w:t>
      </w:r>
      <w:r w:rsidR="00E2783F" w:rsidRPr="005F1C9D">
        <w:rPr>
          <w:szCs w:val="24"/>
        </w:rPr>
        <w:t xml:space="preserve">es that the Court will retain jurisdiction </w:t>
      </w:r>
      <w:r w:rsidR="00BE5C6C" w:rsidRPr="005F1C9D">
        <w:rPr>
          <w:szCs w:val="24"/>
        </w:rPr>
        <w:t>for enforcement purposes</w:t>
      </w:r>
      <w:r w:rsidR="00E2783F" w:rsidRPr="005F1C9D">
        <w:rPr>
          <w:szCs w:val="24"/>
        </w:rPr>
        <w:t xml:space="preserve">. </w:t>
      </w:r>
      <w:r w:rsidR="00964B58" w:rsidRPr="005F1C9D">
        <w:rPr>
          <w:szCs w:val="24"/>
        </w:rPr>
        <w:t>(</w:t>
      </w:r>
      <w:r w:rsidR="00106D78" w:rsidRPr="005F1C9D">
        <w:rPr>
          <w:i/>
          <w:iCs/>
          <w:szCs w:val="24"/>
        </w:rPr>
        <w:t>Id.</w:t>
      </w:r>
      <w:r w:rsidR="00BE5C6C" w:rsidRPr="005F1C9D">
        <w:rPr>
          <w:szCs w:val="24"/>
        </w:rPr>
        <w:t>, §</w:t>
      </w:r>
      <w:r w:rsidR="00106D78" w:rsidRPr="005F1C9D">
        <w:rPr>
          <w:szCs w:val="24"/>
        </w:rPr>
        <w:t xml:space="preserve"> </w:t>
      </w:r>
      <w:r w:rsidR="00EF16FC" w:rsidRPr="005F1C9D">
        <w:rPr>
          <w:szCs w:val="24"/>
        </w:rPr>
        <w:t>2</w:t>
      </w:r>
      <w:r w:rsidR="005F1C9D" w:rsidRPr="005F1C9D">
        <w:rPr>
          <w:szCs w:val="24"/>
        </w:rPr>
        <w:t>6</w:t>
      </w:r>
      <w:r w:rsidR="00106D78" w:rsidRPr="005F1C9D">
        <w:rPr>
          <w:szCs w:val="24"/>
        </w:rPr>
        <w:t>.</w:t>
      </w:r>
      <w:r w:rsidR="00964B58" w:rsidRPr="005F1C9D">
        <w:rPr>
          <w:szCs w:val="24"/>
        </w:rPr>
        <w:t>)</w:t>
      </w:r>
      <w:r w:rsidR="00A21A13" w:rsidRPr="005F1C9D">
        <w:rPr>
          <w:szCs w:val="24"/>
        </w:rPr>
        <w:t xml:space="preserve"> </w:t>
      </w:r>
      <w:r w:rsidRPr="005F1C9D">
        <w:rPr>
          <w:szCs w:val="24"/>
        </w:rPr>
        <w:t>Accordingly, Plaintiff ha</w:t>
      </w:r>
      <w:r w:rsidR="00074274" w:rsidRPr="005F1C9D">
        <w:rPr>
          <w:szCs w:val="24"/>
        </w:rPr>
        <w:t>s</w:t>
      </w:r>
      <w:r w:rsidRPr="005F1C9D">
        <w:rPr>
          <w:szCs w:val="24"/>
        </w:rPr>
        <w:t xml:space="preserve"> achieved a judicially-sanctioned, material alteration in the relationship between the parties</w:t>
      </w:r>
      <w:r w:rsidR="00856A71" w:rsidRPr="005F1C9D">
        <w:rPr>
          <w:szCs w:val="24"/>
        </w:rPr>
        <w:t xml:space="preserve">, as required to </w:t>
      </w:r>
      <w:r w:rsidRPr="005F1C9D">
        <w:rPr>
          <w:szCs w:val="24"/>
        </w:rPr>
        <w:t xml:space="preserve">recover </w:t>
      </w:r>
      <w:r w:rsidR="00ED3AE9" w:rsidRPr="005F1C9D">
        <w:rPr>
          <w:szCs w:val="24"/>
        </w:rPr>
        <w:t xml:space="preserve">attorneys’ </w:t>
      </w:r>
      <w:r w:rsidRPr="005F1C9D">
        <w:rPr>
          <w:szCs w:val="24"/>
        </w:rPr>
        <w:t>fees in this case.</w:t>
      </w:r>
    </w:p>
    <w:p w14:paraId="03A5117C" w14:textId="0EED870E" w:rsidR="00B55AEC" w:rsidRPr="005B03E6" w:rsidRDefault="00B23FD8" w:rsidP="00E458A2">
      <w:pPr>
        <w:pStyle w:val="ListParagraph"/>
        <w:keepNext/>
        <w:numPr>
          <w:ilvl w:val="0"/>
          <w:numId w:val="9"/>
        </w:numPr>
        <w:spacing w:line="480" w:lineRule="auto"/>
        <w:ind w:left="1440" w:right="720" w:hanging="720"/>
        <w:contextualSpacing w:val="0"/>
        <w:jc w:val="both"/>
        <w:rPr>
          <w:b/>
          <w:bCs/>
          <w:szCs w:val="24"/>
        </w:rPr>
      </w:pPr>
      <w:r w:rsidRPr="005B03E6">
        <w:rPr>
          <w:b/>
          <w:bCs/>
          <w:szCs w:val="24"/>
        </w:rPr>
        <w:t>Plaintiff’s Lodestar Is Reasonable</w:t>
      </w:r>
    </w:p>
    <w:p w14:paraId="5A81BF16" w14:textId="0C191B99" w:rsidR="00EF532A" w:rsidRPr="005A04F1" w:rsidRDefault="00EF69DA" w:rsidP="007A5075">
      <w:pPr>
        <w:spacing w:line="480" w:lineRule="auto"/>
        <w:ind w:firstLine="720"/>
        <w:jc w:val="both"/>
        <w:rPr>
          <w:szCs w:val="24"/>
        </w:rPr>
      </w:pPr>
      <w:r w:rsidRPr="005A04F1">
        <w:rPr>
          <w:szCs w:val="24"/>
        </w:rPr>
        <w:t>In statutory fee</w:t>
      </w:r>
      <w:r w:rsidR="00B42956" w:rsidRPr="005A04F1">
        <w:rPr>
          <w:szCs w:val="24"/>
        </w:rPr>
        <w:t>-</w:t>
      </w:r>
      <w:r w:rsidRPr="005A04F1">
        <w:rPr>
          <w:szCs w:val="24"/>
        </w:rPr>
        <w:t xml:space="preserve">shifting cases, the party seeking fees </w:t>
      </w:r>
      <w:r w:rsidR="000B1439" w:rsidRPr="005A04F1">
        <w:rPr>
          <w:szCs w:val="24"/>
        </w:rPr>
        <w:t>bears</w:t>
      </w:r>
      <w:r w:rsidRPr="005A04F1">
        <w:rPr>
          <w:szCs w:val="24"/>
        </w:rPr>
        <w:t xml:space="preserve"> the burden </w:t>
      </w:r>
      <w:r w:rsidR="000B1439" w:rsidRPr="005A04F1">
        <w:rPr>
          <w:szCs w:val="24"/>
        </w:rPr>
        <w:t>of</w:t>
      </w:r>
      <w:r w:rsidRPr="005A04F1">
        <w:rPr>
          <w:szCs w:val="24"/>
        </w:rPr>
        <w:t xml:space="preserve"> prov</w:t>
      </w:r>
      <w:r w:rsidR="000B1439" w:rsidRPr="005A04F1">
        <w:rPr>
          <w:szCs w:val="24"/>
        </w:rPr>
        <w:t>ing</w:t>
      </w:r>
      <w:r w:rsidRPr="005A04F1">
        <w:rPr>
          <w:szCs w:val="24"/>
        </w:rPr>
        <w:t xml:space="preserve"> its request is reasonable</w:t>
      </w:r>
      <w:r w:rsidR="000B1439" w:rsidRPr="005A04F1">
        <w:rPr>
          <w:szCs w:val="24"/>
        </w:rPr>
        <w:t>,</w:t>
      </w:r>
      <w:r w:rsidRPr="005A04F1">
        <w:rPr>
          <w:szCs w:val="24"/>
        </w:rPr>
        <w:t xml:space="preserve"> </w:t>
      </w:r>
      <w:r w:rsidR="000B1439" w:rsidRPr="005A04F1">
        <w:rPr>
          <w:szCs w:val="24"/>
        </w:rPr>
        <w:t xml:space="preserve">which it </w:t>
      </w:r>
      <w:r w:rsidRPr="005A04F1">
        <w:rPr>
          <w:szCs w:val="24"/>
        </w:rPr>
        <w:t xml:space="preserve">can </w:t>
      </w:r>
      <w:r w:rsidR="000B1439" w:rsidRPr="005A04F1">
        <w:rPr>
          <w:szCs w:val="24"/>
        </w:rPr>
        <w:t>do</w:t>
      </w:r>
      <w:r w:rsidRPr="005A04F1">
        <w:rPr>
          <w:szCs w:val="24"/>
        </w:rPr>
        <w:t xml:space="preserve"> by </w:t>
      </w:r>
      <w:r w:rsidR="000B1439" w:rsidRPr="005A04F1">
        <w:rPr>
          <w:szCs w:val="24"/>
        </w:rPr>
        <w:t>“</w:t>
      </w:r>
      <w:r w:rsidRPr="005A04F1">
        <w:rPr>
          <w:szCs w:val="24"/>
        </w:rPr>
        <w:t>submit</w:t>
      </w:r>
      <w:r w:rsidR="000B1439" w:rsidRPr="005A04F1">
        <w:rPr>
          <w:szCs w:val="24"/>
        </w:rPr>
        <w:t>[</w:t>
      </w:r>
      <w:r w:rsidRPr="005A04F1">
        <w:rPr>
          <w:szCs w:val="24"/>
        </w:rPr>
        <w:t>ting</w:t>
      </w:r>
      <w:r w:rsidR="000B1439" w:rsidRPr="005A04F1">
        <w:rPr>
          <w:szCs w:val="24"/>
        </w:rPr>
        <w:t>]</w:t>
      </w:r>
      <w:r w:rsidRPr="005A04F1">
        <w:rPr>
          <w:szCs w:val="24"/>
        </w:rPr>
        <w:t xml:space="preserve"> evidence supporting the hours worked and </w:t>
      </w:r>
      <w:r w:rsidR="00F9078C" w:rsidRPr="005A04F1">
        <w:rPr>
          <w:szCs w:val="24"/>
        </w:rPr>
        <w:t>[</w:t>
      </w:r>
      <w:r w:rsidRPr="005A04F1">
        <w:rPr>
          <w:szCs w:val="24"/>
        </w:rPr>
        <w:t>the</w:t>
      </w:r>
      <w:r w:rsidR="00F9078C" w:rsidRPr="005A04F1">
        <w:rPr>
          <w:szCs w:val="24"/>
        </w:rPr>
        <w:t>]</w:t>
      </w:r>
      <w:r w:rsidRPr="005A04F1">
        <w:rPr>
          <w:szCs w:val="24"/>
        </w:rPr>
        <w:t xml:space="preserve"> rates claimed.” </w:t>
      </w:r>
      <w:r w:rsidRPr="005A04F1">
        <w:rPr>
          <w:i/>
          <w:iCs/>
          <w:szCs w:val="24"/>
        </w:rPr>
        <w:t>Rode v. Dellarciprete</w:t>
      </w:r>
      <w:r w:rsidRPr="005A04F1">
        <w:rPr>
          <w:szCs w:val="24"/>
        </w:rPr>
        <w:t>, 892 F.2d 1177, 1183 (3d Cir. 1990)</w:t>
      </w:r>
      <w:r w:rsidR="00A603DD" w:rsidRPr="005A04F1">
        <w:rPr>
          <w:szCs w:val="24"/>
        </w:rPr>
        <w:fldChar w:fldCharType="begin"/>
      </w:r>
      <w:r w:rsidR="00A603DD" w:rsidRPr="005A04F1">
        <w:rPr>
          <w:szCs w:val="24"/>
        </w:rPr>
        <w:instrText xml:space="preserve"> TA \l "</w:instrText>
      </w:r>
      <w:r w:rsidR="00A603DD" w:rsidRPr="005A04F1">
        <w:rPr>
          <w:i/>
          <w:iCs/>
          <w:szCs w:val="24"/>
        </w:rPr>
        <w:instrText>Rode v. Dellarciprete</w:instrText>
      </w:r>
      <w:r w:rsidR="00A603DD" w:rsidRPr="005A04F1">
        <w:rPr>
          <w:i/>
          <w:iCs/>
          <w:szCs w:val="24"/>
        </w:rPr>
        <w:br/>
      </w:r>
      <w:r w:rsidR="00A603DD" w:rsidRPr="005A04F1">
        <w:rPr>
          <w:szCs w:val="24"/>
        </w:rPr>
        <w:instrText xml:space="preserve">892 F.2d 1177 (3d Cir. 1990)" \s "Rode v. Dellarciprete, 892 F.2d 1177, 1183 (3d Cir. 1990)" \c 1 </w:instrText>
      </w:r>
      <w:r w:rsidR="00A603DD" w:rsidRPr="005A04F1">
        <w:rPr>
          <w:szCs w:val="24"/>
        </w:rPr>
        <w:fldChar w:fldCharType="end"/>
      </w:r>
      <w:r w:rsidRPr="005A04F1">
        <w:rPr>
          <w:szCs w:val="24"/>
        </w:rPr>
        <w:t xml:space="preserve">. </w:t>
      </w:r>
      <w:r w:rsidR="00F9078C" w:rsidRPr="005A04F1">
        <w:rPr>
          <w:szCs w:val="24"/>
        </w:rPr>
        <w:t>“</w:t>
      </w:r>
      <w:r w:rsidR="00EF532A" w:rsidRPr="005A04F1">
        <w:rPr>
          <w:szCs w:val="24"/>
        </w:rPr>
        <w:t>A court determines an attorney’s lodestar award by multiplying the number of hours he or she reasonably worked on a client’s case by a reasonable hourly billing rate for such services given the geographical area, the nature of the services provided, and the experience of the lawyer.</w:t>
      </w:r>
      <w:r w:rsidR="00F9078C" w:rsidRPr="005A04F1">
        <w:rPr>
          <w:szCs w:val="24"/>
        </w:rPr>
        <w:t>”</w:t>
      </w:r>
      <w:r w:rsidR="003E5D02" w:rsidRPr="005A04F1">
        <w:rPr>
          <w:rStyle w:val="FootnoteReference"/>
          <w:szCs w:val="24"/>
        </w:rPr>
        <w:footnoteReference w:id="3"/>
      </w:r>
      <w:r w:rsidR="00EF532A" w:rsidRPr="005A04F1">
        <w:rPr>
          <w:szCs w:val="24"/>
        </w:rPr>
        <w:t xml:space="preserve"> </w:t>
      </w:r>
      <w:r w:rsidR="00EF532A" w:rsidRPr="005A04F1">
        <w:rPr>
          <w:i/>
          <w:iCs/>
          <w:szCs w:val="24"/>
        </w:rPr>
        <w:t>Gunter v. Ridgewood Energy Corp</w:t>
      </w:r>
      <w:r w:rsidR="00EF532A" w:rsidRPr="005A04F1">
        <w:rPr>
          <w:szCs w:val="24"/>
        </w:rPr>
        <w:t>., 223 F.3d 190, 195</w:t>
      </w:r>
      <w:r w:rsidR="00F9078C" w:rsidRPr="005A04F1">
        <w:rPr>
          <w:szCs w:val="24"/>
        </w:rPr>
        <w:t xml:space="preserve"> n.1</w:t>
      </w:r>
      <w:r w:rsidR="00EF532A" w:rsidRPr="005A04F1">
        <w:rPr>
          <w:szCs w:val="24"/>
        </w:rPr>
        <w:t xml:space="preserve"> (3d Cir. 2000)</w:t>
      </w:r>
      <w:r w:rsidR="00A603DD" w:rsidRPr="005A04F1">
        <w:rPr>
          <w:szCs w:val="24"/>
        </w:rPr>
        <w:fldChar w:fldCharType="begin"/>
      </w:r>
      <w:r w:rsidR="00A603DD" w:rsidRPr="005A04F1">
        <w:rPr>
          <w:szCs w:val="24"/>
        </w:rPr>
        <w:instrText xml:space="preserve"> TA \l "</w:instrText>
      </w:r>
      <w:r w:rsidR="00A603DD" w:rsidRPr="005A04F1">
        <w:rPr>
          <w:i/>
          <w:iCs/>
          <w:szCs w:val="24"/>
        </w:rPr>
        <w:instrText>Gunter v. Ridgewood Energy Corp</w:instrText>
      </w:r>
      <w:r w:rsidR="00A603DD" w:rsidRPr="005A04F1">
        <w:rPr>
          <w:szCs w:val="24"/>
        </w:rPr>
        <w:instrText>.</w:instrText>
      </w:r>
      <w:r w:rsidR="00A603DD" w:rsidRPr="005A04F1">
        <w:rPr>
          <w:szCs w:val="24"/>
        </w:rPr>
        <w:br/>
        <w:instrText xml:space="preserve">223 F.3d 190 (3d Cir. 2000)" \s "Gunter v. Ridgewood Energy Corp., 223 F.3d 190, 195 n.1 (3d Cir. 2000)" \c 1 </w:instrText>
      </w:r>
      <w:r w:rsidR="00A603DD" w:rsidRPr="005A04F1">
        <w:rPr>
          <w:szCs w:val="24"/>
        </w:rPr>
        <w:fldChar w:fldCharType="end"/>
      </w:r>
      <w:r w:rsidR="00EF532A" w:rsidRPr="005A04F1">
        <w:rPr>
          <w:szCs w:val="24"/>
        </w:rPr>
        <w:t xml:space="preserve">; </w:t>
      </w:r>
      <w:r w:rsidR="00EF532A" w:rsidRPr="005A04F1">
        <w:rPr>
          <w:i/>
          <w:iCs/>
          <w:szCs w:val="24"/>
        </w:rPr>
        <w:t>see also Maldonado v. Houstoun</w:t>
      </w:r>
      <w:r w:rsidR="00EF532A" w:rsidRPr="005A04F1">
        <w:rPr>
          <w:szCs w:val="24"/>
        </w:rPr>
        <w:t>, 256 F.3d 181, 184 (3d Cir. 2001)</w:t>
      </w:r>
      <w:r w:rsidR="00A603DD" w:rsidRPr="005A04F1">
        <w:rPr>
          <w:szCs w:val="24"/>
        </w:rPr>
        <w:fldChar w:fldCharType="begin"/>
      </w:r>
      <w:r w:rsidR="00A603DD" w:rsidRPr="005A04F1">
        <w:rPr>
          <w:szCs w:val="24"/>
        </w:rPr>
        <w:instrText xml:space="preserve"> TA \l "</w:instrText>
      </w:r>
      <w:r w:rsidR="00A603DD" w:rsidRPr="005A04F1">
        <w:rPr>
          <w:i/>
          <w:iCs/>
          <w:szCs w:val="24"/>
        </w:rPr>
        <w:instrText>Maldonado v. Houstoun</w:instrText>
      </w:r>
      <w:r w:rsidR="00A603DD" w:rsidRPr="005A04F1">
        <w:rPr>
          <w:i/>
          <w:iCs/>
          <w:szCs w:val="24"/>
        </w:rPr>
        <w:br/>
      </w:r>
      <w:r w:rsidR="00A603DD" w:rsidRPr="005A04F1">
        <w:rPr>
          <w:szCs w:val="24"/>
        </w:rPr>
        <w:instrText xml:space="preserve">256 F.3d 181 (3d Cir. 2001)" \s "Maldonado v. Houstoun, 256 F.3d 181, 184 (3d Cir. 2001)" \c 1 </w:instrText>
      </w:r>
      <w:r w:rsidR="00A603DD" w:rsidRPr="005A04F1">
        <w:rPr>
          <w:szCs w:val="24"/>
        </w:rPr>
        <w:fldChar w:fldCharType="end"/>
      </w:r>
      <w:r w:rsidR="00EF532A" w:rsidRPr="005A04F1">
        <w:rPr>
          <w:szCs w:val="24"/>
        </w:rPr>
        <w:t xml:space="preserve">. </w:t>
      </w:r>
      <w:r w:rsidR="00674EA9" w:rsidRPr="005A04F1">
        <w:rPr>
          <w:szCs w:val="24"/>
        </w:rPr>
        <w:t>F</w:t>
      </w:r>
      <w:r w:rsidR="00EF532A" w:rsidRPr="005A04F1">
        <w:rPr>
          <w:szCs w:val="24"/>
        </w:rPr>
        <w:t xml:space="preserve">ee awards in complex civil rights cases are “governed by the same standards which prevail in other types of equally complex </w:t>
      </w:r>
      <w:r w:rsidR="00EB36D2" w:rsidRPr="005A04F1">
        <w:rPr>
          <w:szCs w:val="24"/>
        </w:rPr>
        <w:t>F</w:t>
      </w:r>
      <w:r w:rsidR="00EF532A" w:rsidRPr="005A04F1">
        <w:rPr>
          <w:szCs w:val="24"/>
        </w:rPr>
        <w:t>ederal litigatio</w:t>
      </w:r>
      <w:r w:rsidR="00674EA9" w:rsidRPr="005A04F1">
        <w:rPr>
          <w:szCs w:val="24"/>
        </w:rPr>
        <w:t>n[.]</w:t>
      </w:r>
      <w:r w:rsidR="00EF532A" w:rsidRPr="005A04F1">
        <w:rPr>
          <w:szCs w:val="24"/>
        </w:rPr>
        <w:t xml:space="preserve">” </w:t>
      </w:r>
      <w:r w:rsidR="00EF532A" w:rsidRPr="005A04F1">
        <w:rPr>
          <w:i/>
          <w:iCs/>
          <w:szCs w:val="24"/>
        </w:rPr>
        <w:t>Hensley</w:t>
      </w:r>
      <w:r w:rsidR="00EF532A" w:rsidRPr="005A04F1">
        <w:rPr>
          <w:szCs w:val="24"/>
        </w:rPr>
        <w:t>, 461 U.S. at 430 n.4</w:t>
      </w:r>
      <w:r w:rsidR="00A603DD" w:rsidRPr="005A04F1">
        <w:rPr>
          <w:szCs w:val="24"/>
        </w:rPr>
        <w:fldChar w:fldCharType="begin"/>
      </w:r>
      <w:r w:rsidR="00A603DD" w:rsidRPr="005A04F1">
        <w:rPr>
          <w:szCs w:val="24"/>
        </w:rPr>
        <w:instrText xml:space="preserve"> TA \s "Hensley v. Eckerhart, 461 U.S. 424, 433 (1983)." </w:instrText>
      </w:r>
      <w:r w:rsidR="00A603DD" w:rsidRPr="005A04F1">
        <w:rPr>
          <w:szCs w:val="24"/>
        </w:rPr>
        <w:fldChar w:fldCharType="end"/>
      </w:r>
      <w:r w:rsidR="00EF532A" w:rsidRPr="005A04F1">
        <w:rPr>
          <w:szCs w:val="24"/>
        </w:rPr>
        <w:t xml:space="preserve"> (comparing complex civil rights case with complex antitrust litigation for purposes o</w:t>
      </w:r>
      <w:r w:rsidR="004644C1" w:rsidRPr="005A04F1">
        <w:rPr>
          <w:szCs w:val="24"/>
        </w:rPr>
        <w:t>f</w:t>
      </w:r>
      <w:r w:rsidR="00EF532A" w:rsidRPr="005A04F1">
        <w:rPr>
          <w:szCs w:val="24"/>
        </w:rPr>
        <w:t xml:space="preserve"> awarding attorney</w:t>
      </w:r>
      <w:r w:rsidR="00F9078C" w:rsidRPr="005A04F1">
        <w:rPr>
          <w:szCs w:val="24"/>
        </w:rPr>
        <w:t>s</w:t>
      </w:r>
      <w:r w:rsidR="004A041D" w:rsidRPr="005A04F1">
        <w:rPr>
          <w:szCs w:val="24"/>
        </w:rPr>
        <w:t>’</w:t>
      </w:r>
      <w:r w:rsidR="00EF532A" w:rsidRPr="005A04F1">
        <w:rPr>
          <w:szCs w:val="24"/>
        </w:rPr>
        <w:t xml:space="preserve"> fees).</w:t>
      </w:r>
    </w:p>
    <w:p w14:paraId="6FEFD9D9" w14:textId="56F8A5CE" w:rsidR="003535BC" w:rsidRPr="008A274E" w:rsidRDefault="003535BC" w:rsidP="007A5075">
      <w:pPr>
        <w:spacing w:line="480" w:lineRule="auto"/>
        <w:ind w:firstLine="720"/>
        <w:jc w:val="both"/>
        <w:rPr>
          <w:szCs w:val="24"/>
        </w:rPr>
      </w:pPr>
      <w:r w:rsidRPr="00FC01FF">
        <w:rPr>
          <w:szCs w:val="24"/>
        </w:rPr>
        <w:lastRenderedPageBreak/>
        <w:t xml:space="preserve">Class Counsel have spent a total of </w:t>
      </w:r>
      <w:r w:rsidR="003916CF">
        <w:rPr>
          <w:szCs w:val="24"/>
        </w:rPr>
        <w:t>185.8</w:t>
      </w:r>
      <w:r w:rsidRPr="00FC01FF">
        <w:rPr>
          <w:szCs w:val="24"/>
        </w:rPr>
        <w:t xml:space="preserve"> hours prosecuting Plaintiff’s claim </w:t>
      </w:r>
      <w:r w:rsidR="007E7F19" w:rsidRPr="00FC01FF">
        <w:rPr>
          <w:szCs w:val="24"/>
        </w:rPr>
        <w:t>through today’s date</w:t>
      </w:r>
      <w:r w:rsidRPr="00FC01FF">
        <w:rPr>
          <w:szCs w:val="24"/>
        </w:rPr>
        <w:t xml:space="preserve">. </w:t>
      </w:r>
      <w:r w:rsidR="00D623E4" w:rsidRPr="00AD3F86">
        <w:rPr>
          <w:szCs w:val="24"/>
        </w:rPr>
        <w:t>(</w:t>
      </w:r>
      <w:r w:rsidRPr="00AD3F86">
        <w:rPr>
          <w:szCs w:val="24"/>
        </w:rPr>
        <w:t>Declaration of Kevin Tucker</w:t>
      </w:r>
      <w:r w:rsidR="00945704" w:rsidRPr="00AD3F86">
        <w:rPr>
          <w:szCs w:val="24"/>
        </w:rPr>
        <w:t xml:space="preserve"> (“Tucker Decl</w:t>
      </w:r>
      <w:r w:rsidR="00945704" w:rsidRPr="00CD2EC5">
        <w:rPr>
          <w:szCs w:val="24"/>
        </w:rPr>
        <w:t>.”)</w:t>
      </w:r>
      <w:r w:rsidR="00900653" w:rsidRPr="00CD2EC5">
        <w:rPr>
          <w:szCs w:val="24"/>
        </w:rPr>
        <w:t xml:space="preserve">, </w:t>
      </w:r>
      <w:r w:rsidR="00945704" w:rsidRPr="00CD2EC5">
        <w:rPr>
          <w:szCs w:val="24"/>
        </w:rPr>
        <w:t>¶ 1</w:t>
      </w:r>
      <w:r w:rsidR="003916CF">
        <w:rPr>
          <w:szCs w:val="24"/>
        </w:rPr>
        <w:t>6</w:t>
      </w:r>
      <w:r w:rsidRPr="008A274E">
        <w:rPr>
          <w:szCs w:val="24"/>
        </w:rPr>
        <w:t>.</w:t>
      </w:r>
      <w:r w:rsidR="00D623E4" w:rsidRPr="008A274E">
        <w:rPr>
          <w:szCs w:val="24"/>
        </w:rPr>
        <w:t>)</w:t>
      </w:r>
      <w:r w:rsidR="00A84718" w:rsidRPr="008A274E">
        <w:rPr>
          <w:rStyle w:val="FootnoteReference"/>
          <w:szCs w:val="24"/>
        </w:rPr>
        <w:footnoteReference w:id="4"/>
      </w:r>
      <w:r w:rsidRPr="008A274E">
        <w:rPr>
          <w:szCs w:val="24"/>
        </w:rPr>
        <w:t xml:space="preserve"> When applied to Class Counsel’s hourly rate</w:t>
      </w:r>
      <w:r w:rsidR="008524A1" w:rsidRPr="008A274E">
        <w:rPr>
          <w:szCs w:val="24"/>
        </w:rPr>
        <w:t>s</w:t>
      </w:r>
      <w:r w:rsidRPr="008A274E">
        <w:rPr>
          <w:szCs w:val="24"/>
        </w:rPr>
        <w:t>, Plaintiff’s lodestar is $</w:t>
      </w:r>
      <w:r w:rsidR="003916CF">
        <w:rPr>
          <w:szCs w:val="24"/>
        </w:rPr>
        <w:t>87,535.00</w:t>
      </w:r>
      <w:r w:rsidRPr="008A274E">
        <w:rPr>
          <w:szCs w:val="24"/>
        </w:rPr>
        <w:t>.</w:t>
      </w:r>
      <w:r w:rsidR="00D623E4" w:rsidRPr="008A274E">
        <w:rPr>
          <w:szCs w:val="24"/>
        </w:rPr>
        <w:t xml:space="preserve"> (</w:t>
      </w:r>
      <w:r w:rsidR="00945704" w:rsidRPr="008A274E">
        <w:rPr>
          <w:i/>
          <w:iCs/>
          <w:szCs w:val="24"/>
        </w:rPr>
        <w:t>Id</w:t>
      </w:r>
      <w:r w:rsidR="00945704" w:rsidRPr="008A274E">
        <w:rPr>
          <w:szCs w:val="24"/>
        </w:rPr>
        <w:t>.</w:t>
      </w:r>
      <w:r w:rsidR="008524A1" w:rsidRPr="008A274E">
        <w:rPr>
          <w:szCs w:val="24"/>
        </w:rPr>
        <w:t xml:space="preserve">, </w:t>
      </w:r>
      <w:r w:rsidR="00945704" w:rsidRPr="008A274E">
        <w:rPr>
          <w:szCs w:val="24"/>
        </w:rPr>
        <w:t xml:space="preserve">¶ </w:t>
      </w:r>
      <w:r w:rsidR="008A274E" w:rsidRPr="008A274E">
        <w:rPr>
          <w:szCs w:val="24"/>
        </w:rPr>
        <w:t>1</w:t>
      </w:r>
      <w:r w:rsidR="003916CF">
        <w:rPr>
          <w:szCs w:val="24"/>
        </w:rPr>
        <w:t>7</w:t>
      </w:r>
      <w:r w:rsidR="00945704" w:rsidRPr="008A274E">
        <w:rPr>
          <w:szCs w:val="24"/>
        </w:rPr>
        <w:t>.</w:t>
      </w:r>
      <w:r w:rsidR="00D623E4" w:rsidRPr="008A274E">
        <w:rPr>
          <w:szCs w:val="24"/>
        </w:rPr>
        <w:t>)</w:t>
      </w:r>
      <w:r w:rsidR="00945704" w:rsidRPr="008A274E">
        <w:rPr>
          <w:szCs w:val="24"/>
        </w:rPr>
        <w:t xml:space="preserve"> </w:t>
      </w:r>
      <w:r w:rsidRPr="008A274E">
        <w:rPr>
          <w:szCs w:val="24"/>
        </w:rPr>
        <w:t>Plaintiff seeks $</w:t>
      </w:r>
      <w:r w:rsidR="008A274E" w:rsidRPr="008A274E">
        <w:rPr>
          <w:szCs w:val="24"/>
        </w:rPr>
        <w:t>73</w:t>
      </w:r>
      <w:r w:rsidRPr="008A274E">
        <w:rPr>
          <w:szCs w:val="24"/>
        </w:rPr>
        <w:t>,</w:t>
      </w:r>
      <w:r w:rsidR="008A274E" w:rsidRPr="008A274E">
        <w:rPr>
          <w:szCs w:val="24"/>
        </w:rPr>
        <w:t>5</w:t>
      </w:r>
      <w:r w:rsidRPr="008A274E">
        <w:rPr>
          <w:szCs w:val="24"/>
        </w:rPr>
        <w:t>00.00 as a prevailing party attorneys</w:t>
      </w:r>
      <w:r w:rsidR="008524A1" w:rsidRPr="008A274E">
        <w:rPr>
          <w:szCs w:val="24"/>
        </w:rPr>
        <w:t>’</w:t>
      </w:r>
      <w:r w:rsidRPr="008A274E">
        <w:rPr>
          <w:szCs w:val="24"/>
        </w:rPr>
        <w:t xml:space="preserve"> fee, which amounts to </w:t>
      </w:r>
      <w:r w:rsidR="003916CF">
        <w:rPr>
          <w:szCs w:val="24"/>
        </w:rPr>
        <w:t>83.97</w:t>
      </w:r>
      <w:r w:rsidRPr="008A274E">
        <w:rPr>
          <w:szCs w:val="24"/>
        </w:rPr>
        <w:t xml:space="preserve">% of </w:t>
      </w:r>
      <w:r w:rsidR="008524A1" w:rsidRPr="008A274E">
        <w:rPr>
          <w:szCs w:val="24"/>
        </w:rPr>
        <w:t>Class Counsel</w:t>
      </w:r>
      <w:r w:rsidRPr="008A274E">
        <w:rPr>
          <w:szCs w:val="24"/>
        </w:rPr>
        <w:t>’s lodestar to date</w:t>
      </w:r>
      <w:r w:rsidR="00654523" w:rsidRPr="008A274E">
        <w:rPr>
          <w:szCs w:val="24"/>
        </w:rPr>
        <w:t>.</w:t>
      </w:r>
      <w:r w:rsidR="00D623E4" w:rsidRPr="008A274E">
        <w:rPr>
          <w:szCs w:val="24"/>
        </w:rPr>
        <w:t xml:space="preserve"> (</w:t>
      </w:r>
      <w:r w:rsidR="00945704" w:rsidRPr="008A274E">
        <w:rPr>
          <w:i/>
          <w:iCs/>
          <w:szCs w:val="24"/>
        </w:rPr>
        <w:t>Id</w:t>
      </w:r>
      <w:r w:rsidR="00945704" w:rsidRPr="008A274E">
        <w:rPr>
          <w:szCs w:val="24"/>
        </w:rPr>
        <w:t>.</w:t>
      </w:r>
      <w:r w:rsidR="008524A1" w:rsidRPr="008A274E">
        <w:rPr>
          <w:szCs w:val="24"/>
        </w:rPr>
        <w:t xml:space="preserve">, ¶ </w:t>
      </w:r>
      <w:r w:rsidR="00945704" w:rsidRPr="008A274E">
        <w:rPr>
          <w:szCs w:val="24"/>
        </w:rPr>
        <w:t>1</w:t>
      </w:r>
      <w:r w:rsidR="003916CF">
        <w:rPr>
          <w:szCs w:val="24"/>
        </w:rPr>
        <w:t>8</w:t>
      </w:r>
      <w:r w:rsidR="00945704" w:rsidRPr="008A274E">
        <w:rPr>
          <w:szCs w:val="24"/>
        </w:rPr>
        <w:t>.</w:t>
      </w:r>
      <w:r w:rsidR="00D623E4" w:rsidRPr="008A274E">
        <w:rPr>
          <w:szCs w:val="24"/>
        </w:rPr>
        <w:t>)</w:t>
      </w:r>
    </w:p>
    <w:p w14:paraId="78F4913E" w14:textId="29F72914" w:rsidR="00095508" w:rsidRPr="006B2A0B" w:rsidRDefault="00095508" w:rsidP="00E458A2">
      <w:pPr>
        <w:pStyle w:val="ListParagraph"/>
        <w:keepNext/>
        <w:numPr>
          <w:ilvl w:val="0"/>
          <w:numId w:val="11"/>
        </w:numPr>
        <w:spacing w:after="240"/>
        <w:ind w:left="2160" w:right="720" w:hanging="720"/>
        <w:contextualSpacing w:val="0"/>
        <w:rPr>
          <w:b/>
          <w:bCs/>
          <w:szCs w:val="24"/>
        </w:rPr>
      </w:pPr>
      <w:bookmarkStart w:id="2" w:name="_Hlk71810794"/>
      <w:r w:rsidRPr="006B2A0B">
        <w:rPr>
          <w:b/>
          <w:bCs/>
          <w:szCs w:val="24"/>
        </w:rPr>
        <w:t xml:space="preserve">Class Counsel spent a reasonable number of hours </w:t>
      </w:r>
      <w:bookmarkEnd w:id="2"/>
      <w:r w:rsidRPr="006B2A0B">
        <w:rPr>
          <w:b/>
          <w:bCs/>
          <w:szCs w:val="24"/>
        </w:rPr>
        <w:t>prosecuting Plaintiff’</w:t>
      </w:r>
      <w:r w:rsidR="004A041D" w:rsidRPr="006B2A0B">
        <w:rPr>
          <w:b/>
          <w:bCs/>
          <w:szCs w:val="24"/>
        </w:rPr>
        <w:t>s</w:t>
      </w:r>
      <w:r w:rsidRPr="006B2A0B">
        <w:rPr>
          <w:b/>
          <w:bCs/>
          <w:szCs w:val="24"/>
        </w:rPr>
        <w:t xml:space="preserve"> claim</w:t>
      </w:r>
    </w:p>
    <w:p w14:paraId="614578A3" w14:textId="2A334441" w:rsidR="00EC22BD" w:rsidRPr="00F74BA9" w:rsidRDefault="007C2398" w:rsidP="007A5075">
      <w:pPr>
        <w:spacing w:line="480" w:lineRule="auto"/>
        <w:ind w:firstLine="720"/>
        <w:jc w:val="both"/>
        <w:rPr>
          <w:szCs w:val="24"/>
        </w:rPr>
      </w:pPr>
      <w:r w:rsidRPr="00E958FD">
        <w:rPr>
          <w:szCs w:val="24"/>
        </w:rPr>
        <w:t xml:space="preserve">So far, </w:t>
      </w:r>
      <w:r w:rsidR="00F54498" w:rsidRPr="00E958FD">
        <w:rPr>
          <w:szCs w:val="24"/>
        </w:rPr>
        <w:t xml:space="preserve">Class Counsel </w:t>
      </w:r>
      <w:r w:rsidR="00AA34C2" w:rsidRPr="00E958FD">
        <w:rPr>
          <w:szCs w:val="24"/>
        </w:rPr>
        <w:t>ha</w:t>
      </w:r>
      <w:r w:rsidR="00CF2EBD" w:rsidRPr="00E958FD">
        <w:rPr>
          <w:szCs w:val="24"/>
        </w:rPr>
        <w:t>ve</w:t>
      </w:r>
      <w:r w:rsidR="00AA34C2" w:rsidRPr="00E958FD">
        <w:rPr>
          <w:szCs w:val="24"/>
        </w:rPr>
        <w:t xml:space="preserve"> </w:t>
      </w:r>
      <w:r w:rsidR="00F54498" w:rsidRPr="00E958FD">
        <w:rPr>
          <w:szCs w:val="24"/>
        </w:rPr>
        <w:t>spent a total of</w:t>
      </w:r>
      <w:r w:rsidR="004E27E9" w:rsidRPr="00E958FD">
        <w:rPr>
          <w:szCs w:val="24"/>
        </w:rPr>
        <w:t xml:space="preserve"> </w:t>
      </w:r>
      <w:r w:rsidR="003916CF">
        <w:rPr>
          <w:szCs w:val="24"/>
        </w:rPr>
        <w:t>185.8</w:t>
      </w:r>
      <w:r w:rsidR="004E27E9" w:rsidRPr="00E958FD">
        <w:rPr>
          <w:szCs w:val="24"/>
        </w:rPr>
        <w:t xml:space="preserve"> hours </w:t>
      </w:r>
      <w:r w:rsidR="00F54498" w:rsidRPr="00E958FD">
        <w:rPr>
          <w:szCs w:val="24"/>
        </w:rPr>
        <w:t>prosecuting Plaintiff’</w:t>
      </w:r>
      <w:r w:rsidR="004C72E7" w:rsidRPr="00E958FD">
        <w:rPr>
          <w:szCs w:val="24"/>
        </w:rPr>
        <w:t>s</w:t>
      </w:r>
      <w:r w:rsidR="00F54498" w:rsidRPr="00E958FD">
        <w:rPr>
          <w:szCs w:val="24"/>
        </w:rPr>
        <w:t xml:space="preserve"> claim. </w:t>
      </w:r>
      <w:r w:rsidR="00286CB8" w:rsidRPr="00E958FD">
        <w:rPr>
          <w:szCs w:val="24"/>
        </w:rPr>
        <w:t>(Tucker Decl.,</w:t>
      </w:r>
      <w:r w:rsidR="00945704" w:rsidRPr="00E958FD">
        <w:rPr>
          <w:szCs w:val="24"/>
        </w:rPr>
        <w:t xml:space="preserve"> ¶ 1</w:t>
      </w:r>
      <w:r w:rsidR="003916CF">
        <w:rPr>
          <w:szCs w:val="24"/>
        </w:rPr>
        <w:t>6</w:t>
      </w:r>
      <w:r w:rsidR="00AA34C2" w:rsidRPr="00E958FD">
        <w:rPr>
          <w:szCs w:val="24"/>
        </w:rPr>
        <w:t>.</w:t>
      </w:r>
      <w:r w:rsidR="00286CB8" w:rsidRPr="00E958FD">
        <w:rPr>
          <w:szCs w:val="24"/>
        </w:rPr>
        <w:t>)</w:t>
      </w:r>
      <w:r w:rsidR="00AA34C2" w:rsidRPr="00E958FD">
        <w:rPr>
          <w:szCs w:val="24"/>
        </w:rPr>
        <w:t xml:space="preserve"> </w:t>
      </w:r>
      <w:r w:rsidR="00F54498" w:rsidRPr="00E958FD">
        <w:rPr>
          <w:szCs w:val="24"/>
        </w:rPr>
        <w:t xml:space="preserve">Though </w:t>
      </w:r>
      <w:r w:rsidR="00EF16FC" w:rsidRPr="00E958FD">
        <w:rPr>
          <w:szCs w:val="24"/>
        </w:rPr>
        <w:t xml:space="preserve">the docket is shorter </w:t>
      </w:r>
      <w:r w:rsidR="00AA34C2" w:rsidRPr="00E958FD">
        <w:rPr>
          <w:szCs w:val="24"/>
        </w:rPr>
        <w:t xml:space="preserve">than </w:t>
      </w:r>
      <w:r w:rsidR="00EF16FC" w:rsidRPr="00E958FD">
        <w:rPr>
          <w:szCs w:val="24"/>
        </w:rPr>
        <w:t>some</w:t>
      </w:r>
      <w:r w:rsidR="00AA34C2" w:rsidRPr="00E958FD">
        <w:rPr>
          <w:szCs w:val="24"/>
        </w:rPr>
        <w:t xml:space="preserve"> cases</w:t>
      </w:r>
      <w:r w:rsidR="00F54498" w:rsidRPr="00E958FD">
        <w:rPr>
          <w:szCs w:val="24"/>
        </w:rPr>
        <w:t xml:space="preserve">, this </w:t>
      </w:r>
      <w:r w:rsidR="00AA34C2" w:rsidRPr="00E958FD">
        <w:rPr>
          <w:szCs w:val="24"/>
        </w:rPr>
        <w:t>action</w:t>
      </w:r>
      <w:r w:rsidR="00F54498" w:rsidRPr="00E958FD">
        <w:rPr>
          <w:szCs w:val="24"/>
        </w:rPr>
        <w:t xml:space="preserve"> has involved a thoughtful commitment of time by Class Counsel, and this work is ongoing. Class Counsel committed a reasonable amount of time necessary to obtain the results achieved in light of the complexity of the digital access barriers </w:t>
      </w:r>
      <w:r w:rsidR="00187815" w:rsidRPr="00E958FD">
        <w:rPr>
          <w:szCs w:val="24"/>
        </w:rPr>
        <w:t>existing</w:t>
      </w:r>
      <w:r w:rsidR="00654523" w:rsidRPr="00E958FD">
        <w:rPr>
          <w:szCs w:val="24"/>
        </w:rPr>
        <w:t xml:space="preserve"> across multiple digital platforms, including </w:t>
      </w:r>
      <w:r w:rsidRPr="00E958FD">
        <w:rPr>
          <w:szCs w:val="24"/>
        </w:rPr>
        <w:t>on mobile</w:t>
      </w:r>
      <w:r w:rsidR="00654523" w:rsidRPr="00E958FD">
        <w:rPr>
          <w:szCs w:val="24"/>
        </w:rPr>
        <w:t xml:space="preserve"> devices and personal computers</w:t>
      </w:r>
      <w:r w:rsidR="00F54498" w:rsidRPr="00E958FD">
        <w:rPr>
          <w:szCs w:val="24"/>
        </w:rPr>
        <w:t xml:space="preserve">. Class Counsel expended only as much time as was necessary to fully protect the </w:t>
      </w:r>
      <w:r w:rsidR="00F54498" w:rsidRPr="00F74BA9">
        <w:rPr>
          <w:szCs w:val="24"/>
        </w:rPr>
        <w:t>interests of the class and to litigate and settle this matter.</w:t>
      </w:r>
    </w:p>
    <w:p w14:paraId="799CBF8B" w14:textId="3CA2F84C" w:rsidR="003535BC" w:rsidRPr="0064735D" w:rsidRDefault="003535BC" w:rsidP="007A5075">
      <w:pPr>
        <w:spacing w:line="480" w:lineRule="auto"/>
        <w:ind w:firstLine="720"/>
        <w:jc w:val="both"/>
        <w:rPr>
          <w:szCs w:val="24"/>
        </w:rPr>
      </w:pPr>
      <w:r w:rsidRPr="00F74BA9">
        <w:rPr>
          <w:szCs w:val="24"/>
        </w:rPr>
        <w:t>What’s more, although Plaintiff is not seeking fees beyond $</w:t>
      </w:r>
      <w:r w:rsidR="00F74BA9" w:rsidRPr="00F74BA9">
        <w:rPr>
          <w:szCs w:val="24"/>
        </w:rPr>
        <w:t>73</w:t>
      </w:r>
      <w:r w:rsidR="00940F7F" w:rsidRPr="00F74BA9">
        <w:rPr>
          <w:szCs w:val="24"/>
        </w:rPr>
        <w:t>,</w:t>
      </w:r>
      <w:r w:rsidR="00F74BA9" w:rsidRPr="00F74BA9">
        <w:rPr>
          <w:szCs w:val="24"/>
        </w:rPr>
        <w:t>5</w:t>
      </w:r>
      <w:r w:rsidRPr="00F74BA9">
        <w:rPr>
          <w:szCs w:val="24"/>
        </w:rPr>
        <w:t xml:space="preserve">00.00 for work performed through the end of the Agreement Term, he is entitled to reasonable fees for monitoring Defendant’s compliance with the settlement. </w:t>
      </w:r>
      <w:r w:rsidRPr="00F74BA9">
        <w:rPr>
          <w:i/>
          <w:iCs/>
          <w:szCs w:val="24"/>
        </w:rPr>
        <w:t>Pennsylvania v. Del. Valley Citizens’ Council for Clean Air</w:t>
      </w:r>
      <w:r w:rsidRPr="00F74BA9">
        <w:rPr>
          <w:szCs w:val="24"/>
        </w:rPr>
        <w:t>, 478 U.S. 546, 559</w:t>
      </w:r>
      <w:r w:rsidR="00B013D8" w:rsidRPr="00F74BA9">
        <w:rPr>
          <w:szCs w:val="24"/>
        </w:rPr>
        <w:t xml:space="preserve"> (1986)</w:t>
      </w:r>
      <w:r w:rsidRPr="00F74BA9">
        <w:rPr>
          <w:szCs w:val="24"/>
        </w:rPr>
        <w:t xml:space="preserve">, </w:t>
      </w:r>
      <w:r w:rsidRPr="00F74BA9">
        <w:rPr>
          <w:i/>
          <w:iCs/>
          <w:szCs w:val="24"/>
        </w:rPr>
        <w:t>supplemented</w:t>
      </w:r>
      <w:r w:rsidRPr="00F74BA9">
        <w:rPr>
          <w:szCs w:val="24"/>
        </w:rPr>
        <w:t xml:space="preserve">, 483 U.S. 711 (1987) (finding post-judgment monitoring is compensable activity for which counsel is entitled to a reasonable fee); </w:t>
      </w:r>
      <w:r w:rsidRPr="00F74BA9">
        <w:rPr>
          <w:i/>
          <w:iCs/>
          <w:szCs w:val="24"/>
        </w:rPr>
        <w:t>People Against Police Violence</w:t>
      </w:r>
      <w:r w:rsidRPr="00F74BA9">
        <w:rPr>
          <w:szCs w:val="24"/>
        </w:rPr>
        <w:t xml:space="preserve">, 520 F.3d </w:t>
      </w:r>
      <w:r w:rsidR="009A087F" w:rsidRPr="00F74BA9">
        <w:rPr>
          <w:szCs w:val="24"/>
        </w:rPr>
        <w:t>at</w:t>
      </w:r>
      <w:r w:rsidRPr="00F74BA9">
        <w:rPr>
          <w:szCs w:val="24"/>
        </w:rPr>
        <w:t xml:space="preserve"> 235 (same). </w:t>
      </w:r>
      <w:r w:rsidR="007C2398" w:rsidRPr="00F74BA9">
        <w:rPr>
          <w:szCs w:val="24"/>
        </w:rPr>
        <w:t>T</w:t>
      </w:r>
      <w:r w:rsidRPr="00F74BA9">
        <w:rPr>
          <w:szCs w:val="24"/>
        </w:rPr>
        <w:t xml:space="preserve">he Agreement obligates Class Counsel to monitor Defendant’s Digital Properties and compliance with the Agreement and to assist </w:t>
      </w:r>
      <w:r w:rsidR="00A9646C" w:rsidRPr="00F74BA9">
        <w:rPr>
          <w:szCs w:val="24"/>
        </w:rPr>
        <w:t xml:space="preserve">Settlement </w:t>
      </w:r>
      <w:r w:rsidRPr="00F74BA9">
        <w:rPr>
          <w:szCs w:val="24"/>
        </w:rPr>
        <w:t xml:space="preserve">Class Members should they encounter access barriers </w:t>
      </w:r>
      <w:r w:rsidR="00A9646C" w:rsidRPr="00F74BA9">
        <w:rPr>
          <w:szCs w:val="24"/>
        </w:rPr>
        <w:t>during</w:t>
      </w:r>
      <w:r w:rsidR="008B74F2" w:rsidRPr="00F74BA9">
        <w:rPr>
          <w:szCs w:val="24"/>
        </w:rPr>
        <w:t xml:space="preserve"> the Agreement Term</w:t>
      </w:r>
      <w:r w:rsidRPr="00F74BA9">
        <w:rPr>
          <w:szCs w:val="24"/>
        </w:rPr>
        <w:t xml:space="preserve">. </w:t>
      </w:r>
      <w:r w:rsidRPr="004D547D">
        <w:rPr>
          <w:szCs w:val="24"/>
        </w:rPr>
        <w:lastRenderedPageBreak/>
        <w:t xml:space="preserve">Although Plaintiff does not request additional fees for this future work, these forward-looking obligations </w:t>
      </w:r>
      <w:r w:rsidR="00FD24BD" w:rsidRPr="004D547D">
        <w:rPr>
          <w:szCs w:val="24"/>
        </w:rPr>
        <w:t xml:space="preserve">further </w:t>
      </w:r>
      <w:r w:rsidR="00FD24BD" w:rsidRPr="0064735D">
        <w:rPr>
          <w:szCs w:val="24"/>
        </w:rPr>
        <w:t>demonstrate that</w:t>
      </w:r>
      <w:r w:rsidRPr="0064735D">
        <w:rPr>
          <w:szCs w:val="24"/>
        </w:rPr>
        <w:t xml:space="preserve"> the </w:t>
      </w:r>
      <w:r w:rsidR="00FD24BD" w:rsidRPr="0064735D">
        <w:rPr>
          <w:szCs w:val="24"/>
        </w:rPr>
        <w:t xml:space="preserve">requested </w:t>
      </w:r>
      <w:r w:rsidRPr="0064735D">
        <w:rPr>
          <w:szCs w:val="24"/>
        </w:rPr>
        <w:t>fee is reasonable and should be approved</w:t>
      </w:r>
      <w:r w:rsidR="00FD24BD" w:rsidRPr="0064735D">
        <w:rPr>
          <w:szCs w:val="24"/>
        </w:rPr>
        <w:t>.</w:t>
      </w:r>
    </w:p>
    <w:p w14:paraId="716CA771" w14:textId="09EF5766" w:rsidR="00095508" w:rsidRPr="0064735D" w:rsidRDefault="00095508" w:rsidP="00E458A2">
      <w:pPr>
        <w:pStyle w:val="ListParagraph"/>
        <w:keepNext/>
        <w:numPr>
          <w:ilvl w:val="0"/>
          <w:numId w:val="11"/>
        </w:numPr>
        <w:spacing w:after="240"/>
        <w:ind w:left="2160" w:right="720" w:hanging="720"/>
        <w:contextualSpacing w:val="0"/>
        <w:jc w:val="both"/>
        <w:rPr>
          <w:b/>
          <w:bCs/>
          <w:szCs w:val="24"/>
        </w:rPr>
      </w:pPr>
      <w:r w:rsidRPr="0064735D">
        <w:rPr>
          <w:b/>
          <w:bCs/>
          <w:szCs w:val="24"/>
        </w:rPr>
        <w:t>Class Counsel’s hourly rate</w:t>
      </w:r>
      <w:r w:rsidR="00A329BB">
        <w:rPr>
          <w:b/>
          <w:bCs/>
          <w:szCs w:val="24"/>
        </w:rPr>
        <w:t>s are</w:t>
      </w:r>
      <w:r w:rsidRPr="0064735D">
        <w:rPr>
          <w:b/>
          <w:bCs/>
          <w:szCs w:val="24"/>
        </w:rPr>
        <w:t xml:space="preserve"> reasonable</w:t>
      </w:r>
    </w:p>
    <w:p w14:paraId="22517B0B" w14:textId="57836C63" w:rsidR="003535BC" w:rsidRPr="003E7410" w:rsidRDefault="003535BC" w:rsidP="003535BC">
      <w:pPr>
        <w:spacing w:line="480" w:lineRule="auto"/>
        <w:ind w:firstLine="720"/>
        <w:jc w:val="both"/>
        <w:rPr>
          <w:szCs w:val="24"/>
        </w:rPr>
      </w:pPr>
      <w:r w:rsidRPr="003E7410">
        <w:rPr>
          <w:szCs w:val="24"/>
        </w:rPr>
        <w:t xml:space="preserve">The Court “should assess the experience and skill of the prevailing party’s attorneys and compare their rates to the rates prevailing in the community for similar services by lawyers of reasonably comparable skill, experience, and reputation.” </w:t>
      </w:r>
      <w:r w:rsidRPr="003E7410">
        <w:rPr>
          <w:i/>
          <w:iCs/>
          <w:szCs w:val="24"/>
        </w:rPr>
        <w:t>Maldonado</w:t>
      </w:r>
      <w:r w:rsidRPr="003E7410">
        <w:rPr>
          <w:szCs w:val="24"/>
        </w:rPr>
        <w:t>, 256 F.3d at 184.</w:t>
      </w:r>
    </w:p>
    <w:p w14:paraId="5FEB70B6" w14:textId="59FEC97C" w:rsidR="003535BC" w:rsidRPr="003E7410" w:rsidRDefault="003535BC" w:rsidP="003535BC">
      <w:pPr>
        <w:spacing w:line="480" w:lineRule="auto"/>
        <w:ind w:firstLine="720"/>
        <w:jc w:val="both"/>
        <w:rPr>
          <w:szCs w:val="24"/>
        </w:rPr>
      </w:pPr>
      <w:r w:rsidRPr="003E7410">
        <w:rPr>
          <w:szCs w:val="24"/>
        </w:rPr>
        <w:t xml:space="preserve">Class Counsel submits the following </w:t>
      </w:r>
      <w:r w:rsidR="00194F63" w:rsidRPr="003E7410">
        <w:rPr>
          <w:szCs w:val="24"/>
        </w:rPr>
        <w:t xml:space="preserve">hourly </w:t>
      </w:r>
      <w:r w:rsidRPr="003E7410">
        <w:rPr>
          <w:szCs w:val="24"/>
        </w:rPr>
        <w:t>rates for the Court’s consideration:</w:t>
      </w:r>
    </w:p>
    <w:p w14:paraId="24DB6E1F" w14:textId="5EA4E7DA" w:rsidR="005D3F77" w:rsidRPr="006D1C4F" w:rsidRDefault="005D3F77" w:rsidP="003535BC">
      <w:pPr>
        <w:widowControl w:val="0"/>
        <w:ind w:firstLine="720"/>
        <w:rPr>
          <w:b/>
          <w:bCs/>
          <w:szCs w:val="24"/>
        </w:rPr>
      </w:pPr>
      <w:r w:rsidRPr="006D1C4F">
        <w:rPr>
          <w:b/>
          <w:bCs/>
          <w:szCs w:val="24"/>
        </w:rPr>
        <w:t>Attorney</w:t>
      </w:r>
      <w:r w:rsidRPr="006D1C4F">
        <w:rPr>
          <w:b/>
          <w:bCs/>
          <w:szCs w:val="24"/>
        </w:rPr>
        <w:tab/>
      </w:r>
      <w:r w:rsidRPr="006D1C4F">
        <w:rPr>
          <w:b/>
          <w:bCs/>
          <w:szCs w:val="24"/>
        </w:rPr>
        <w:tab/>
      </w:r>
      <w:r w:rsidR="004D4C4B">
        <w:rPr>
          <w:b/>
          <w:bCs/>
          <w:szCs w:val="24"/>
        </w:rPr>
        <w:tab/>
      </w:r>
      <w:r w:rsidR="000E19BA" w:rsidRPr="006D1C4F">
        <w:rPr>
          <w:b/>
          <w:bCs/>
          <w:szCs w:val="24"/>
        </w:rPr>
        <w:t>2020</w:t>
      </w:r>
      <w:r w:rsidR="000E19BA" w:rsidRPr="006D1C4F">
        <w:rPr>
          <w:b/>
          <w:bCs/>
          <w:szCs w:val="24"/>
        </w:rPr>
        <w:tab/>
      </w:r>
      <w:r w:rsidR="000E19BA" w:rsidRPr="006D1C4F">
        <w:rPr>
          <w:b/>
          <w:bCs/>
          <w:szCs w:val="24"/>
        </w:rPr>
        <w:tab/>
        <w:t>2021</w:t>
      </w:r>
      <w:r w:rsidR="000E19BA" w:rsidRPr="006D1C4F">
        <w:rPr>
          <w:b/>
          <w:bCs/>
          <w:szCs w:val="24"/>
        </w:rPr>
        <w:tab/>
      </w:r>
      <w:r w:rsidRPr="006D1C4F">
        <w:rPr>
          <w:b/>
          <w:bCs/>
          <w:szCs w:val="24"/>
        </w:rPr>
        <w:tab/>
        <w:t>202</w:t>
      </w:r>
      <w:r w:rsidR="00450FA6" w:rsidRPr="006D1C4F">
        <w:rPr>
          <w:b/>
          <w:bCs/>
          <w:szCs w:val="24"/>
        </w:rPr>
        <w:t>2</w:t>
      </w:r>
      <w:r w:rsidRPr="006D1C4F">
        <w:rPr>
          <w:b/>
          <w:bCs/>
          <w:szCs w:val="24"/>
        </w:rPr>
        <w:tab/>
      </w:r>
      <w:r w:rsidRPr="006D1C4F">
        <w:rPr>
          <w:b/>
          <w:bCs/>
          <w:szCs w:val="24"/>
        </w:rPr>
        <w:tab/>
        <w:t>202</w:t>
      </w:r>
      <w:r w:rsidR="00450FA6" w:rsidRPr="006D1C4F">
        <w:rPr>
          <w:b/>
          <w:bCs/>
          <w:szCs w:val="24"/>
        </w:rPr>
        <w:t>3</w:t>
      </w:r>
    </w:p>
    <w:p w14:paraId="0FF39CA2" w14:textId="1DA3D0F6" w:rsidR="005D3F77" w:rsidRPr="006D1C4F" w:rsidRDefault="005D3F77" w:rsidP="00925FE9">
      <w:pPr>
        <w:widowControl w:val="0"/>
        <w:rPr>
          <w:szCs w:val="24"/>
        </w:rPr>
      </w:pPr>
    </w:p>
    <w:p w14:paraId="664FD0B4" w14:textId="4CAB2381" w:rsidR="003535BC" w:rsidRPr="006D1C4F" w:rsidRDefault="003535BC" w:rsidP="003535BC">
      <w:pPr>
        <w:widowControl w:val="0"/>
        <w:ind w:firstLine="720"/>
        <w:rPr>
          <w:szCs w:val="24"/>
        </w:rPr>
      </w:pPr>
      <w:r w:rsidRPr="006D1C4F">
        <w:rPr>
          <w:szCs w:val="24"/>
        </w:rPr>
        <w:t>Kevin Tucker</w:t>
      </w:r>
      <w:r w:rsidRPr="006D1C4F">
        <w:rPr>
          <w:szCs w:val="24"/>
        </w:rPr>
        <w:tab/>
      </w:r>
      <w:r w:rsidRPr="006D1C4F">
        <w:rPr>
          <w:szCs w:val="24"/>
        </w:rPr>
        <w:tab/>
      </w:r>
      <w:r w:rsidR="004D4C4B">
        <w:rPr>
          <w:szCs w:val="24"/>
        </w:rPr>
        <w:tab/>
      </w:r>
      <w:r w:rsidR="000E19BA" w:rsidRPr="006D1C4F">
        <w:rPr>
          <w:szCs w:val="24"/>
        </w:rPr>
        <w:t>$575</w:t>
      </w:r>
      <w:r w:rsidR="000E19BA" w:rsidRPr="006D1C4F">
        <w:rPr>
          <w:szCs w:val="24"/>
        </w:rPr>
        <w:tab/>
      </w:r>
      <w:r w:rsidR="000E19BA" w:rsidRPr="006D1C4F">
        <w:rPr>
          <w:szCs w:val="24"/>
        </w:rPr>
        <w:tab/>
        <w:t>$575</w:t>
      </w:r>
      <w:r w:rsidR="000E19BA" w:rsidRPr="006D1C4F">
        <w:rPr>
          <w:szCs w:val="24"/>
        </w:rPr>
        <w:tab/>
      </w:r>
      <w:r w:rsidRPr="006D1C4F">
        <w:rPr>
          <w:szCs w:val="24"/>
        </w:rPr>
        <w:tab/>
      </w:r>
      <w:r w:rsidR="005D3F77" w:rsidRPr="006D1C4F">
        <w:rPr>
          <w:szCs w:val="24"/>
        </w:rPr>
        <w:t>$</w:t>
      </w:r>
      <w:r w:rsidR="00450FA6" w:rsidRPr="006D1C4F">
        <w:rPr>
          <w:szCs w:val="24"/>
        </w:rPr>
        <w:t>600</w:t>
      </w:r>
      <w:r w:rsidR="005D3F77" w:rsidRPr="006D1C4F">
        <w:rPr>
          <w:szCs w:val="24"/>
        </w:rPr>
        <w:tab/>
      </w:r>
      <w:r w:rsidR="005D3F77" w:rsidRPr="006D1C4F">
        <w:rPr>
          <w:szCs w:val="24"/>
        </w:rPr>
        <w:tab/>
      </w:r>
      <w:r w:rsidRPr="006D1C4F">
        <w:rPr>
          <w:szCs w:val="24"/>
        </w:rPr>
        <w:t>$600</w:t>
      </w:r>
    </w:p>
    <w:p w14:paraId="1F067A63" w14:textId="64128F33" w:rsidR="003535BC" w:rsidRPr="006D1C4F" w:rsidRDefault="003535BC" w:rsidP="003535BC">
      <w:pPr>
        <w:widowControl w:val="0"/>
        <w:ind w:firstLine="720"/>
        <w:rPr>
          <w:szCs w:val="24"/>
        </w:rPr>
      </w:pPr>
      <w:r w:rsidRPr="006D1C4F">
        <w:rPr>
          <w:szCs w:val="24"/>
        </w:rPr>
        <w:t>Kevin Abramowicz</w:t>
      </w:r>
      <w:r w:rsidR="004D4C4B">
        <w:rPr>
          <w:szCs w:val="24"/>
        </w:rPr>
        <w:tab/>
      </w:r>
      <w:r w:rsidRPr="006D1C4F">
        <w:rPr>
          <w:szCs w:val="24"/>
        </w:rPr>
        <w:tab/>
      </w:r>
      <w:r w:rsidR="000E19BA" w:rsidRPr="006D1C4F">
        <w:rPr>
          <w:szCs w:val="24"/>
        </w:rPr>
        <w:t>$575</w:t>
      </w:r>
      <w:r w:rsidR="000E19BA" w:rsidRPr="006D1C4F">
        <w:rPr>
          <w:szCs w:val="24"/>
        </w:rPr>
        <w:tab/>
      </w:r>
      <w:r w:rsidR="000E19BA" w:rsidRPr="006D1C4F">
        <w:rPr>
          <w:szCs w:val="24"/>
        </w:rPr>
        <w:tab/>
        <w:t>$575</w:t>
      </w:r>
      <w:r w:rsidR="000E19BA" w:rsidRPr="006D1C4F">
        <w:rPr>
          <w:szCs w:val="24"/>
        </w:rPr>
        <w:tab/>
      </w:r>
      <w:r w:rsidRPr="006D1C4F">
        <w:rPr>
          <w:szCs w:val="24"/>
        </w:rPr>
        <w:tab/>
      </w:r>
      <w:r w:rsidR="005D3F77" w:rsidRPr="006D1C4F">
        <w:rPr>
          <w:szCs w:val="24"/>
        </w:rPr>
        <w:t>$</w:t>
      </w:r>
      <w:r w:rsidR="00450FA6" w:rsidRPr="006D1C4F">
        <w:rPr>
          <w:szCs w:val="24"/>
        </w:rPr>
        <w:t>600</w:t>
      </w:r>
      <w:r w:rsidR="005D3F77" w:rsidRPr="006D1C4F">
        <w:rPr>
          <w:szCs w:val="24"/>
        </w:rPr>
        <w:tab/>
      </w:r>
      <w:r w:rsidR="005D3F77" w:rsidRPr="006D1C4F">
        <w:rPr>
          <w:szCs w:val="24"/>
        </w:rPr>
        <w:tab/>
      </w:r>
      <w:r w:rsidRPr="006D1C4F">
        <w:rPr>
          <w:szCs w:val="24"/>
        </w:rPr>
        <w:t>$600</w:t>
      </w:r>
    </w:p>
    <w:p w14:paraId="5691D825" w14:textId="4B22AFC3" w:rsidR="003535BC" w:rsidRPr="006D1C4F" w:rsidRDefault="003535BC" w:rsidP="005D3F77">
      <w:pPr>
        <w:widowControl w:val="0"/>
        <w:ind w:firstLine="720"/>
        <w:rPr>
          <w:szCs w:val="24"/>
        </w:rPr>
      </w:pPr>
      <w:r w:rsidRPr="006D1C4F">
        <w:rPr>
          <w:szCs w:val="24"/>
        </w:rPr>
        <w:t>Chandler Steiger</w:t>
      </w:r>
      <w:r w:rsidRPr="006D1C4F">
        <w:rPr>
          <w:szCs w:val="24"/>
        </w:rPr>
        <w:tab/>
      </w:r>
      <w:r w:rsidR="004D4C4B">
        <w:rPr>
          <w:szCs w:val="24"/>
        </w:rPr>
        <w:tab/>
      </w:r>
      <w:r w:rsidR="000E19BA" w:rsidRPr="006D1C4F">
        <w:rPr>
          <w:szCs w:val="24"/>
        </w:rPr>
        <w:t>——</w:t>
      </w:r>
      <w:r w:rsidR="000E19BA" w:rsidRPr="006D1C4F">
        <w:rPr>
          <w:szCs w:val="24"/>
        </w:rPr>
        <w:tab/>
      </w:r>
      <w:r w:rsidR="000E19BA" w:rsidRPr="006D1C4F">
        <w:rPr>
          <w:szCs w:val="24"/>
        </w:rPr>
        <w:tab/>
        <w:t>$</w:t>
      </w:r>
      <w:r w:rsidR="00C71FD3">
        <w:rPr>
          <w:szCs w:val="24"/>
        </w:rPr>
        <w:t>350</w:t>
      </w:r>
      <w:r w:rsidR="000E19BA" w:rsidRPr="006D1C4F">
        <w:rPr>
          <w:szCs w:val="24"/>
        </w:rPr>
        <w:tab/>
      </w:r>
      <w:r w:rsidRPr="006D1C4F">
        <w:rPr>
          <w:szCs w:val="24"/>
        </w:rPr>
        <w:tab/>
      </w:r>
      <w:r w:rsidR="005D3F77" w:rsidRPr="006D1C4F">
        <w:rPr>
          <w:szCs w:val="24"/>
        </w:rPr>
        <w:t>$</w:t>
      </w:r>
      <w:r w:rsidR="00450FA6" w:rsidRPr="006D1C4F">
        <w:rPr>
          <w:szCs w:val="24"/>
        </w:rPr>
        <w:t>400</w:t>
      </w:r>
      <w:r w:rsidR="005D3F77" w:rsidRPr="006D1C4F">
        <w:rPr>
          <w:szCs w:val="24"/>
        </w:rPr>
        <w:tab/>
      </w:r>
      <w:r w:rsidR="005D3F77" w:rsidRPr="006D1C4F">
        <w:rPr>
          <w:szCs w:val="24"/>
        </w:rPr>
        <w:tab/>
      </w:r>
      <w:r w:rsidRPr="006D1C4F">
        <w:rPr>
          <w:szCs w:val="24"/>
        </w:rPr>
        <w:t>$</w:t>
      </w:r>
      <w:r w:rsidR="005D3F77" w:rsidRPr="006D1C4F">
        <w:rPr>
          <w:szCs w:val="24"/>
        </w:rPr>
        <w:t>4</w:t>
      </w:r>
      <w:r w:rsidR="00450FA6" w:rsidRPr="006D1C4F">
        <w:rPr>
          <w:szCs w:val="24"/>
        </w:rPr>
        <w:t>25</w:t>
      </w:r>
    </w:p>
    <w:p w14:paraId="1CF1BF38" w14:textId="166292C2" w:rsidR="003535BC" w:rsidRPr="006D1C4F" w:rsidRDefault="003535BC" w:rsidP="003535BC">
      <w:pPr>
        <w:widowControl w:val="0"/>
        <w:spacing w:after="240"/>
        <w:ind w:firstLine="720"/>
        <w:rPr>
          <w:szCs w:val="24"/>
        </w:rPr>
      </w:pPr>
      <w:r w:rsidRPr="006D1C4F">
        <w:rPr>
          <w:szCs w:val="24"/>
        </w:rPr>
        <w:t>Stephanie Moore</w:t>
      </w:r>
      <w:r w:rsidRPr="006D1C4F">
        <w:rPr>
          <w:szCs w:val="24"/>
        </w:rPr>
        <w:tab/>
      </w:r>
      <w:r w:rsidR="004D4C4B">
        <w:rPr>
          <w:szCs w:val="24"/>
        </w:rPr>
        <w:tab/>
      </w:r>
      <w:r w:rsidR="000E19BA" w:rsidRPr="006D1C4F">
        <w:rPr>
          <w:szCs w:val="24"/>
        </w:rPr>
        <w:t>——</w:t>
      </w:r>
      <w:r w:rsidR="000E19BA" w:rsidRPr="006D1C4F">
        <w:rPr>
          <w:szCs w:val="24"/>
        </w:rPr>
        <w:tab/>
      </w:r>
      <w:r w:rsidR="000E19BA" w:rsidRPr="006D1C4F">
        <w:rPr>
          <w:szCs w:val="24"/>
        </w:rPr>
        <w:tab/>
        <w:t>$</w:t>
      </w:r>
      <w:r w:rsidR="00C71FD3">
        <w:rPr>
          <w:szCs w:val="24"/>
        </w:rPr>
        <w:t>350</w:t>
      </w:r>
      <w:r w:rsidR="000E19BA" w:rsidRPr="006D1C4F">
        <w:rPr>
          <w:szCs w:val="24"/>
        </w:rPr>
        <w:tab/>
      </w:r>
      <w:r w:rsidRPr="006D1C4F">
        <w:rPr>
          <w:szCs w:val="24"/>
        </w:rPr>
        <w:tab/>
      </w:r>
      <w:r w:rsidR="005D3F77" w:rsidRPr="006D1C4F">
        <w:rPr>
          <w:szCs w:val="24"/>
        </w:rPr>
        <w:t>$</w:t>
      </w:r>
      <w:r w:rsidR="00450FA6" w:rsidRPr="006D1C4F">
        <w:rPr>
          <w:szCs w:val="24"/>
        </w:rPr>
        <w:t>400</w:t>
      </w:r>
      <w:r w:rsidR="005D3F77" w:rsidRPr="006D1C4F">
        <w:rPr>
          <w:szCs w:val="24"/>
        </w:rPr>
        <w:tab/>
      </w:r>
      <w:r w:rsidR="005D3F77" w:rsidRPr="006D1C4F">
        <w:rPr>
          <w:szCs w:val="24"/>
        </w:rPr>
        <w:tab/>
      </w:r>
      <w:r w:rsidRPr="006D1C4F">
        <w:rPr>
          <w:szCs w:val="24"/>
        </w:rPr>
        <w:t>$</w:t>
      </w:r>
      <w:r w:rsidR="005D3F77" w:rsidRPr="006D1C4F">
        <w:rPr>
          <w:szCs w:val="24"/>
        </w:rPr>
        <w:t>4</w:t>
      </w:r>
      <w:r w:rsidR="00450FA6" w:rsidRPr="006D1C4F">
        <w:rPr>
          <w:szCs w:val="24"/>
        </w:rPr>
        <w:t>25</w:t>
      </w:r>
    </w:p>
    <w:p w14:paraId="6518497C" w14:textId="3BC0EEC6" w:rsidR="00646489" w:rsidRPr="00573776" w:rsidRDefault="003535BC" w:rsidP="007A5075">
      <w:pPr>
        <w:spacing w:line="480" w:lineRule="auto"/>
        <w:ind w:firstLine="720"/>
        <w:jc w:val="both"/>
        <w:rPr>
          <w:szCs w:val="24"/>
        </w:rPr>
      </w:pPr>
      <w:r w:rsidRPr="006E6AAD">
        <w:rPr>
          <w:szCs w:val="24"/>
        </w:rPr>
        <w:t xml:space="preserve">These rates are reasonable given the prevailing rates for ADA class action attorneys practicing in the Erie and Pittsburgh </w:t>
      </w:r>
      <w:r w:rsidR="00925FE9" w:rsidRPr="006E6AAD">
        <w:rPr>
          <w:szCs w:val="24"/>
        </w:rPr>
        <w:t>d</w:t>
      </w:r>
      <w:r w:rsidRPr="006E6AAD">
        <w:rPr>
          <w:szCs w:val="24"/>
        </w:rPr>
        <w:t xml:space="preserve">ivisions of the Western District of Pennsylvania. </w:t>
      </w:r>
      <w:r w:rsidR="00AA34C2" w:rsidRPr="006E6AAD">
        <w:rPr>
          <w:szCs w:val="24"/>
        </w:rPr>
        <w:t>T</w:t>
      </w:r>
      <w:r w:rsidRPr="006E6AAD">
        <w:rPr>
          <w:szCs w:val="24"/>
        </w:rPr>
        <w:t>o this end, t</w:t>
      </w:r>
      <w:r w:rsidR="00AA34C2" w:rsidRPr="006E6AAD">
        <w:rPr>
          <w:szCs w:val="24"/>
        </w:rPr>
        <w:t xml:space="preserve">he Western District of Pennsylvania has approved </w:t>
      </w:r>
      <w:r w:rsidRPr="006E6AAD">
        <w:rPr>
          <w:szCs w:val="24"/>
        </w:rPr>
        <w:t xml:space="preserve">several fee motions filed in class </w:t>
      </w:r>
      <w:r w:rsidR="00AA5623" w:rsidRPr="006E6AAD">
        <w:rPr>
          <w:szCs w:val="24"/>
        </w:rPr>
        <w:t>case</w:t>
      </w:r>
      <w:r w:rsidRPr="006E6AAD">
        <w:rPr>
          <w:szCs w:val="24"/>
        </w:rPr>
        <w:t>s brough</w:t>
      </w:r>
      <w:r w:rsidR="00AA5623" w:rsidRPr="006E6AAD">
        <w:rPr>
          <w:szCs w:val="24"/>
        </w:rPr>
        <w:t>t</w:t>
      </w:r>
      <w:r w:rsidRPr="006E6AAD">
        <w:rPr>
          <w:szCs w:val="24"/>
        </w:rPr>
        <w:t xml:space="preserve"> un</w:t>
      </w:r>
      <w:r w:rsidR="00AA34C2" w:rsidRPr="006E6AAD">
        <w:rPr>
          <w:szCs w:val="24"/>
        </w:rPr>
        <w:t xml:space="preserve">der Title III </w:t>
      </w:r>
      <w:r w:rsidR="008F76AE" w:rsidRPr="006E6AAD">
        <w:rPr>
          <w:szCs w:val="24"/>
        </w:rPr>
        <w:t xml:space="preserve">in recent years. These approval orders confirm Class Counsel’s </w:t>
      </w:r>
      <w:r w:rsidRPr="006E6AAD">
        <w:rPr>
          <w:szCs w:val="24"/>
        </w:rPr>
        <w:t xml:space="preserve">requested </w:t>
      </w:r>
      <w:r w:rsidR="008F76AE" w:rsidRPr="006E6AAD">
        <w:rPr>
          <w:szCs w:val="24"/>
        </w:rPr>
        <w:t xml:space="preserve">hourly rates are consistent with </w:t>
      </w:r>
      <w:r w:rsidR="005D3F77" w:rsidRPr="006E6AAD">
        <w:rPr>
          <w:szCs w:val="24"/>
        </w:rPr>
        <w:t>established r</w:t>
      </w:r>
      <w:r w:rsidR="008F76AE" w:rsidRPr="006E6AAD">
        <w:rPr>
          <w:szCs w:val="24"/>
        </w:rPr>
        <w:t xml:space="preserve">ates in </w:t>
      </w:r>
      <w:r w:rsidR="00095508" w:rsidRPr="006E6AAD">
        <w:rPr>
          <w:szCs w:val="24"/>
        </w:rPr>
        <w:t xml:space="preserve">Title III class actions brought in </w:t>
      </w:r>
      <w:r w:rsidR="00950F3D" w:rsidRPr="006E6AAD">
        <w:rPr>
          <w:szCs w:val="24"/>
        </w:rPr>
        <w:t xml:space="preserve">the </w:t>
      </w:r>
      <w:r w:rsidR="00095508" w:rsidRPr="006E6AAD">
        <w:rPr>
          <w:szCs w:val="24"/>
        </w:rPr>
        <w:t xml:space="preserve">Western District of </w:t>
      </w:r>
      <w:r w:rsidR="00095508" w:rsidRPr="00573776">
        <w:rPr>
          <w:szCs w:val="24"/>
        </w:rPr>
        <w:t>Pennsylvania</w:t>
      </w:r>
      <w:r w:rsidR="008F76AE" w:rsidRPr="00573776">
        <w:rPr>
          <w:szCs w:val="24"/>
        </w:rPr>
        <w:t>.</w:t>
      </w:r>
    </w:p>
    <w:p w14:paraId="72FF8210" w14:textId="4885C2FE" w:rsidR="00450FA6" w:rsidRPr="003D5932" w:rsidRDefault="00450FA6" w:rsidP="00077FFB">
      <w:pPr>
        <w:pStyle w:val="ListParagraph"/>
        <w:numPr>
          <w:ilvl w:val="0"/>
          <w:numId w:val="10"/>
        </w:numPr>
        <w:spacing w:after="240"/>
        <w:ind w:left="1080"/>
        <w:contextualSpacing w:val="0"/>
        <w:jc w:val="both"/>
        <w:rPr>
          <w:szCs w:val="24"/>
        </w:rPr>
      </w:pPr>
      <w:r w:rsidRPr="00573776">
        <w:rPr>
          <w:i/>
          <w:iCs/>
          <w:szCs w:val="24"/>
        </w:rPr>
        <w:t>Douglass v. Optavia LLC</w:t>
      </w:r>
      <w:r w:rsidRPr="00573776">
        <w:rPr>
          <w:szCs w:val="24"/>
        </w:rPr>
        <w:t>, No. 2:22-cv-00594 (Pittsburgh) was a Title III class action concerning digital accessibility. Judge W</w:t>
      </w:r>
      <w:r w:rsidR="00D16543" w:rsidRPr="00573776">
        <w:rPr>
          <w:szCs w:val="24"/>
        </w:rPr>
        <w:t>ie</w:t>
      </w:r>
      <w:r w:rsidRPr="00573776">
        <w:rPr>
          <w:szCs w:val="24"/>
        </w:rPr>
        <w:t xml:space="preserve">gand approved </w:t>
      </w:r>
      <w:r w:rsidR="00573776">
        <w:rPr>
          <w:szCs w:val="24"/>
        </w:rPr>
        <w:t>C</w:t>
      </w:r>
      <w:r w:rsidRPr="00573776">
        <w:rPr>
          <w:szCs w:val="24"/>
        </w:rPr>
        <w:t xml:space="preserve">lass </w:t>
      </w:r>
      <w:r w:rsidR="00573776">
        <w:rPr>
          <w:szCs w:val="24"/>
        </w:rPr>
        <w:t>C</w:t>
      </w:r>
      <w:r w:rsidRPr="00573776">
        <w:rPr>
          <w:szCs w:val="24"/>
        </w:rPr>
        <w:t xml:space="preserve">ounsel’s hourly rates, </w:t>
      </w:r>
      <w:r w:rsidRPr="003D5932">
        <w:rPr>
          <w:szCs w:val="24"/>
        </w:rPr>
        <w:t xml:space="preserve">which ranged from $350 </w:t>
      </w:r>
      <w:r w:rsidR="00A329BB">
        <w:rPr>
          <w:szCs w:val="24"/>
        </w:rPr>
        <w:t xml:space="preserve">to $400 for attorneys Steiger and Moore, and from $575 </w:t>
      </w:r>
      <w:r w:rsidRPr="003D5932">
        <w:rPr>
          <w:szCs w:val="24"/>
        </w:rPr>
        <w:t>to $600</w:t>
      </w:r>
      <w:r w:rsidR="00A329BB">
        <w:rPr>
          <w:szCs w:val="24"/>
        </w:rPr>
        <w:t xml:space="preserve"> for attorneys Tucker and Abramowicz</w:t>
      </w:r>
      <w:r w:rsidRPr="003D5932">
        <w:rPr>
          <w:szCs w:val="24"/>
        </w:rPr>
        <w:t xml:space="preserve">. </w:t>
      </w:r>
      <w:r w:rsidRPr="003D5932">
        <w:rPr>
          <w:i/>
          <w:iCs/>
          <w:szCs w:val="24"/>
        </w:rPr>
        <w:t>See</w:t>
      </w:r>
      <w:r w:rsidRPr="003D5932">
        <w:rPr>
          <w:szCs w:val="24"/>
        </w:rPr>
        <w:t xml:space="preserve"> Doc. 39 at </w:t>
      </w:r>
      <w:r w:rsidR="003D5932" w:rsidRPr="003D5932">
        <w:rPr>
          <w:szCs w:val="24"/>
        </w:rPr>
        <w:t xml:space="preserve">p. </w:t>
      </w:r>
      <w:r w:rsidRPr="003D5932">
        <w:rPr>
          <w:szCs w:val="24"/>
        </w:rPr>
        <w:t>2 (order granting attorneys’ fees).</w:t>
      </w:r>
    </w:p>
    <w:p w14:paraId="7082122A" w14:textId="363BDBC9" w:rsidR="00732BEE" w:rsidRPr="00230E4E" w:rsidRDefault="008E46C0" w:rsidP="00077FFB">
      <w:pPr>
        <w:pStyle w:val="ListParagraph"/>
        <w:numPr>
          <w:ilvl w:val="0"/>
          <w:numId w:val="10"/>
        </w:numPr>
        <w:spacing w:after="240"/>
        <w:ind w:left="1080"/>
        <w:contextualSpacing w:val="0"/>
        <w:jc w:val="both"/>
        <w:rPr>
          <w:szCs w:val="24"/>
        </w:rPr>
      </w:pPr>
      <w:r w:rsidRPr="003D5932">
        <w:rPr>
          <w:i/>
          <w:iCs/>
          <w:szCs w:val="24"/>
        </w:rPr>
        <w:t>Murphy v. The Hundreds Is Huge, Inc.</w:t>
      </w:r>
      <w:r w:rsidRPr="003D5932">
        <w:rPr>
          <w:szCs w:val="24"/>
        </w:rPr>
        <w:t xml:space="preserve">, No. 1:21-cv-00204 (Erie) was a Title III class action concerning digital accessibility. Judge Lanzillo approved </w:t>
      </w:r>
      <w:r w:rsidR="003D5932" w:rsidRPr="003D5932">
        <w:rPr>
          <w:szCs w:val="24"/>
        </w:rPr>
        <w:t>C</w:t>
      </w:r>
      <w:r w:rsidRPr="003D5932">
        <w:rPr>
          <w:szCs w:val="24"/>
        </w:rPr>
        <w:t xml:space="preserve">lass </w:t>
      </w:r>
      <w:r w:rsidR="003D5932" w:rsidRPr="003D5932">
        <w:rPr>
          <w:szCs w:val="24"/>
        </w:rPr>
        <w:t>C</w:t>
      </w:r>
      <w:r w:rsidRPr="003D5932">
        <w:rPr>
          <w:szCs w:val="24"/>
        </w:rPr>
        <w:t>ounsel’s hourly rates, which ranged from $</w:t>
      </w:r>
      <w:r w:rsidRPr="00230E4E">
        <w:rPr>
          <w:szCs w:val="24"/>
        </w:rPr>
        <w:t xml:space="preserve">350 to </w:t>
      </w:r>
      <w:r w:rsidR="00A329BB">
        <w:rPr>
          <w:szCs w:val="24"/>
        </w:rPr>
        <w:t xml:space="preserve">$400 for attorneys Steiger and Moore, and from $575 to </w:t>
      </w:r>
      <w:r w:rsidRPr="00230E4E">
        <w:rPr>
          <w:szCs w:val="24"/>
        </w:rPr>
        <w:t>$600</w:t>
      </w:r>
      <w:r w:rsidR="00A329BB">
        <w:rPr>
          <w:szCs w:val="24"/>
        </w:rPr>
        <w:t xml:space="preserve"> for attorneys Tucker and Abramowicz</w:t>
      </w:r>
      <w:r w:rsidRPr="00230E4E">
        <w:rPr>
          <w:szCs w:val="24"/>
        </w:rPr>
        <w:t xml:space="preserve">. </w:t>
      </w:r>
      <w:r w:rsidRPr="00230E4E">
        <w:rPr>
          <w:i/>
          <w:iCs/>
          <w:szCs w:val="24"/>
        </w:rPr>
        <w:t xml:space="preserve">See </w:t>
      </w:r>
      <w:r w:rsidRPr="00230E4E">
        <w:rPr>
          <w:szCs w:val="24"/>
        </w:rPr>
        <w:t xml:space="preserve">Doc. </w:t>
      </w:r>
      <w:r w:rsidR="00732BEE" w:rsidRPr="00230E4E">
        <w:rPr>
          <w:szCs w:val="24"/>
        </w:rPr>
        <w:t>42</w:t>
      </w:r>
      <w:r w:rsidRPr="00230E4E">
        <w:rPr>
          <w:szCs w:val="24"/>
        </w:rPr>
        <w:t xml:space="preserve"> at p. </w:t>
      </w:r>
      <w:r w:rsidR="00732BEE" w:rsidRPr="00230E4E">
        <w:rPr>
          <w:szCs w:val="24"/>
        </w:rPr>
        <w:t>2</w:t>
      </w:r>
      <w:r w:rsidRPr="00230E4E">
        <w:rPr>
          <w:szCs w:val="24"/>
        </w:rPr>
        <w:t xml:space="preserve"> (</w:t>
      </w:r>
      <w:r w:rsidR="003161BD" w:rsidRPr="00230E4E">
        <w:rPr>
          <w:szCs w:val="24"/>
        </w:rPr>
        <w:t>o</w:t>
      </w:r>
      <w:r w:rsidRPr="00230E4E">
        <w:rPr>
          <w:szCs w:val="24"/>
        </w:rPr>
        <w:t xml:space="preserve">rder </w:t>
      </w:r>
      <w:r w:rsidR="003161BD" w:rsidRPr="00230E4E">
        <w:rPr>
          <w:szCs w:val="24"/>
        </w:rPr>
        <w:t>g</w:t>
      </w:r>
      <w:r w:rsidRPr="00230E4E">
        <w:rPr>
          <w:szCs w:val="24"/>
        </w:rPr>
        <w:t xml:space="preserve">ranting </w:t>
      </w:r>
      <w:r w:rsidR="003161BD" w:rsidRPr="00230E4E">
        <w:rPr>
          <w:szCs w:val="24"/>
        </w:rPr>
        <w:t>a</w:t>
      </w:r>
      <w:r w:rsidRPr="00230E4E">
        <w:rPr>
          <w:szCs w:val="24"/>
        </w:rPr>
        <w:t xml:space="preserve">ttorneys’ </w:t>
      </w:r>
      <w:r w:rsidR="003161BD" w:rsidRPr="00230E4E">
        <w:rPr>
          <w:szCs w:val="24"/>
        </w:rPr>
        <w:t>f</w:t>
      </w:r>
      <w:r w:rsidRPr="00230E4E">
        <w:rPr>
          <w:szCs w:val="24"/>
        </w:rPr>
        <w:t>ees).</w:t>
      </w:r>
    </w:p>
    <w:p w14:paraId="54556A85" w14:textId="0281491C" w:rsidR="00B15EDB" w:rsidRPr="00CA42F8" w:rsidRDefault="00B15EDB" w:rsidP="00B15EDB">
      <w:pPr>
        <w:pStyle w:val="ListParagraph"/>
        <w:numPr>
          <w:ilvl w:val="0"/>
          <w:numId w:val="10"/>
        </w:numPr>
        <w:spacing w:after="240"/>
        <w:ind w:left="1080"/>
        <w:contextualSpacing w:val="0"/>
        <w:jc w:val="both"/>
        <w:rPr>
          <w:szCs w:val="24"/>
        </w:rPr>
      </w:pPr>
      <w:r w:rsidRPr="00CA42F8">
        <w:rPr>
          <w:i/>
          <w:iCs/>
          <w:szCs w:val="24"/>
        </w:rPr>
        <w:t>Murphy v. Eyebobs, LLC</w:t>
      </w:r>
      <w:r w:rsidRPr="00CA42F8">
        <w:rPr>
          <w:szCs w:val="24"/>
        </w:rPr>
        <w:t xml:space="preserve">, No. 1:21-cv-00017 (Erie) was a Title III class action concerning digital accessibility. Judge Lanzillo approved </w:t>
      </w:r>
      <w:r w:rsidR="00EA1F67" w:rsidRPr="00CA42F8">
        <w:rPr>
          <w:szCs w:val="24"/>
        </w:rPr>
        <w:t>C</w:t>
      </w:r>
      <w:r w:rsidRPr="00CA42F8">
        <w:rPr>
          <w:szCs w:val="24"/>
        </w:rPr>
        <w:t xml:space="preserve">lass </w:t>
      </w:r>
      <w:r w:rsidR="00EA1F67" w:rsidRPr="00CA42F8">
        <w:rPr>
          <w:szCs w:val="24"/>
        </w:rPr>
        <w:t>C</w:t>
      </w:r>
      <w:r w:rsidRPr="00CA42F8">
        <w:rPr>
          <w:szCs w:val="24"/>
        </w:rPr>
        <w:t xml:space="preserve">ounsel’s hourly rates, </w:t>
      </w:r>
      <w:r w:rsidR="00A329BB">
        <w:rPr>
          <w:szCs w:val="24"/>
        </w:rPr>
        <w:lastRenderedPageBreak/>
        <w:t xml:space="preserve">including </w:t>
      </w:r>
      <w:r w:rsidRPr="00CA42F8">
        <w:rPr>
          <w:szCs w:val="24"/>
        </w:rPr>
        <w:t xml:space="preserve">$350 </w:t>
      </w:r>
      <w:r w:rsidR="00A329BB">
        <w:rPr>
          <w:szCs w:val="24"/>
        </w:rPr>
        <w:t xml:space="preserve">for attorneys Steiger and Moore, and </w:t>
      </w:r>
      <w:r w:rsidRPr="00CA42F8">
        <w:rPr>
          <w:szCs w:val="24"/>
        </w:rPr>
        <w:t>$575</w:t>
      </w:r>
      <w:r w:rsidR="00A329BB">
        <w:rPr>
          <w:szCs w:val="24"/>
        </w:rPr>
        <w:t xml:space="preserve"> for attorneys Tucker and Abramowicz</w:t>
      </w:r>
      <w:r w:rsidRPr="00CA42F8">
        <w:rPr>
          <w:szCs w:val="24"/>
        </w:rPr>
        <w:t xml:space="preserve">. </w:t>
      </w:r>
      <w:r w:rsidRPr="00CA42F8">
        <w:rPr>
          <w:i/>
          <w:iCs/>
          <w:szCs w:val="24"/>
        </w:rPr>
        <w:t xml:space="preserve">See </w:t>
      </w:r>
      <w:r w:rsidRPr="00CA42F8">
        <w:rPr>
          <w:szCs w:val="24"/>
        </w:rPr>
        <w:t>Doc. 50 at p. 2 (order granting attorneys’ fees).</w:t>
      </w:r>
    </w:p>
    <w:p w14:paraId="372A50E3" w14:textId="3A2DF6C3" w:rsidR="0069234B" w:rsidRPr="00CA42F8" w:rsidRDefault="0069234B" w:rsidP="0069234B">
      <w:pPr>
        <w:pStyle w:val="ListParagraph"/>
        <w:numPr>
          <w:ilvl w:val="0"/>
          <w:numId w:val="10"/>
        </w:numPr>
        <w:spacing w:after="240"/>
        <w:ind w:left="1080"/>
        <w:contextualSpacing w:val="0"/>
        <w:jc w:val="both"/>
        <w:rPr>
          <w:szCs w:val="24"/>
        </w:rPr>
      </w:pPr>
      <w:r w:rsidRPr="00CA42F8">
        <w:rPr>
          <w:i/>
          <w:iCs/>
          <w:szCs w:val="24"/>
        </w:rPr>
        <w:t>Murphy v. Charles Tyrwhitt, Inc.</w:t>
      </w:r>
      <w:r w:rsidRPr="00CA42F8">
        <w:rPr>
          <w:szCs w:val="24"/>
        </w:rPr>
        <w:t xml:space="preserve">, No. 1:20-cv-00056 (Erie) was a Title III class action concerning digital accessibility. Judge Baxter approved </w:t>
      </w:r>
      <w:r w:rsidR="00A329BB">
        <w:rPr>
          <w:szCs w:val="24"/>
        </w:rPr>
        <w:t xml:space="preserve">attorneys Tucker and Abramowicz’s </w:t>
      </w:r>
      <w:r w:rsidRPr="00CA42F8">
        <w:rPr>
          <w:szCs w:val="24"/>
        </w:rPr>
        <w:t xml:space="preserve">hourly rate of $575. </w:t>
      </w:r>
      <w:r w:rsidRPr="00CA42F8">
        <w:rPr>
          <w:i/>
          <w:iCs/>
          <w:szCs w:val="24"/>
        </w:rPr>
        <w:t xml:space="preserve">See </w:t>
      </w:r>
      <w:r w:rsidRPr="00CA42F8">
        <w:rPr>
          <w:szCs w:val="24"/>
        </w:rPr>
        <w:t>Doc. 42 at p. 10 (</w:t>
      </w:r>
      <w:r w:rsidR="002F1F05" w:rsidRPr="00CA42F8">
        <w:rPr>
          <w:szCs w:val="24"/>
        </w:rPr>
        <w:t>brief in support of</w:t>
      </w:r>
      <w:r w:rsidRPr="00CA42F8">
        <w:rPr>
          <w:szCs w:val="24"/>
        </w:rPr>
        <w:t xml:space="preserve"> </w:t>
      </w:r>
      <w:r w:rsidR="005E55BA" w:rsidRPr="00CA42F8">
        <w:rPr>
          <w:szCs w:val="24"/>
        </w:rPr>
        <w:t>m</w:t>
      </w:r>
      <w:r w:rsidRPr="00CA42F8">
        <w:rPr>
          <w:szCs w:val="24"/>
        </w:rPr>
        <w:t xml:space="preserve">otion </w:t>
      </w:r>
      <w:r w:rsidR="005E55BA" w:rsidRPr="00CA42F8">
        <w:rPr>
          <w:szCs w:val="24"/>
        </w:rPr>
        <w:t>f</w:t>
      </w:r>
      <w:r w:rsidRPr="00CA42F8">
        <w:rPr>
          <w:szCs w:val="24"/>
        </w:rPr>
        <w:t xml:space="preserve">or </w:t>
      </w:r>
      <w:r w:rsidR="005E55BA" w:rsidRPr="00CA42F8">
        <w:rPr>
          <w:szCs w:val="24"/>
        </w:rPr>
        <w:t>a</w:t>
      </w:r>
      <w:r w:rsidRPr="00CA42F8">
        <w:rPr>
          <w:szCs w:val="24"/>
        </w:rPr>
        <w:t xml:space="preserve">ttorneys’ </w:t>
      </w:r>
      <w:r w:rsidR="005E55BA" w:rsidRPr="00CA42F8">
        <w:rPr>
          <w:szCs w:val="24"/>
        </w:rPr>
        <w:t>f</w:t>
      </w:r>
      <w:r w:rsidRPr="00CA42F8">
        <w:rPr>
          <w:szCs w:val="24"/>
        </w:rPr>
        <w:t>ees) and Doc. 48 (</w:t>
      </w:r>
      <w:r w:rsidR="002F1F05" w:rsidRPr="00CA42F8">
        <w:rPr>
          <w:szCs w:val="24"/>
        </w:rPr>
        <w:t>o</w:t>
      </w:r>
      <w:r w:rsidRPr="00CA42F8">
        <w:rPr>
          <w:szCs w:val="24"/>
        </w:rPr>
        <w:t xml:space="preserve">rder </w:t>
      </w:r>
      <w:r w:rsidR="002F1F05" w:rsidRPr="00CA42F8">
        <w:rPr>
          <w:szCs w:val="24"/>
        </w:rPr>
        <w:t>g</w:t>
      </w:r>
      <w:r w:rsidRPr="00CA42F8">
        <w:rPr>
          <w:szCs w:val="24"/>
        </w:rPr>
        <w:t xml:space="preserve">ranting </w:t>
      </w:r>
      <w:r w:rsidR="002F1F05" w:rsidRPr="00CA42F8">
        <w:rPr>
          <w:szCs w:val="24"/>
        </w:rPr>
        <w:t>a</w:t>
      </w:r>
      <w:r w:rsidRPr="00CA42F8">
        <w:rPr>
          <w:szCs w:val="24"/>
        </w:rPr>
        <w:t>ttorneys</w:t>
      </w:r>
      <w:r w:rsidR="002F1F05" w:rsidRPr="00CA42F8">
        <w:rPr>
          <w:szCs w:val="24"/>
        </w:rPr>
        <w:t>’</w:t>
      </w:r>
      <w:r w:rsidRPr="00CA42F8">
        <w:rPr>
          <w:szCs w:val="24"/>
        </w:rPr>
        <w:t xml:space="preserve"> </w:t>
      </w:r>
      <w:r w:rsidR="002F1F05" w:rsidRPr="00CA42F8">
        <w:rPr>
          <w:szCs w:val="24"/>
        </w:rPr>
        <w:t>f</w:t>
      </w:r>
      <w:r w:rsidRPr="00CA42F8">
        <w:rPr>
          <w:szCs w:val="24"/>
        </w:rPr>
        <w:t>ees).</w:t>
      </w:r>
    </w:p>
    <w:p w14:paraId="36A53074" w14:textId="1FD103D4" w:rsidR="0058371C" w:rsidRPr="003C3785" w:rsidRDefault="00827218" w:rsidP="007C2398">
      <w:pPr>
        <w:spacing w:line="480" w:lineRule="auto"/>
        <w:ind w:firstLine="720"/>
        <w:jc w:val="both"/>
        <w:rPr>
          <w:szCs w:val="24"/>
        </w:rPr>
      </w:pPr>
      <w:r w:rsidRPr="00387FC3">
        <w:rPr>
          <w:szCs w:val="24"/>
        </w:rPr>
        <w:t>Class Counsel are experienced and competent litigators who protected the interests of the class throughout the litigation and during the negotiation of the Agreement. C</w:t>
      </w:r>
      <w:r w:rsidR="001D7D1F" w:rsidRPr="00387FC3">
        <w:rPr>
          <w:szCs w:val="24"/>
        </w:rPr>
        <w:t>lass C</w:t>
      </w:r>
      <w:r w:rsidRPr="00387FC3">
        <w:rPr>
          <w:szCs w:val="24"/>
        </w:rPr>
        <w:t xml:space="preserve">ounsel have experience litigating class actions, generally, and prosecuting Title III ADA claims, specifically. </w:t>
      </w:r>
      <w:r w:rsidR="00D15FC2" w:rsidRPr="00387FC3">
        <w:rPr>
          <w:szCs w:val="24"/>
        </w:rPr>
        <w:t>Courts have found attorneys Tucker, Abramowicz, Steiger, and Moore adequately represented</w:t>
      </w:r>
      <w:r w:rsidR="00D15FC2" w:rsidRPr="00D15FC2">
        <w:rPr>
          <w:szCs w:val="24"/>
        </w:rPr>
        <w:t xml:space="preserve"> similar classes in: </w:t>
      </w:r>
      <w:r w:rsidR="00D15FC2" w:rsidRPr="00D15FC2">
        <w:rPr>
          <w:i/>
          <w:iCs/>
          <w:szCs w:val="24"/>
        </w:rPr>
        <w:t>Eyebobs</w:t>
      </w:r>
      <w:r w:rsidR="00D15FC2" w:rsidRPr="00D15FC2">
        <w:rPr>
          <w:szCs w:val="24"/>
        </w:rPr>
        <w:t xml:space="preserve"> (Doc. 49, p. 3 (Tucker and Abramowicz)); </w:t>
      </w:r>
      <w:r w:rsidR="00D15FC2" w:rsidRPr="00D15FC2">
        <w:rPr>
          <w:i/>
          <w:iCs/>
          <w:szCs w:val="24"/>
        </w:rPr>
        <w:t xml:space="preserve">Charles Tyrwhitt </w:t>
      </w:r>
      <w:r w:rsidR="00D15FC2" w:rsidRPr="00D15FC2">
        <w:rPr>
          <w:szCs w:val="24"/>
        </w:rPr>
        <w:t xml:space="preserve">(Doc. 47, p. 3 (same)); </w:t>
      </w:r>
      <w:r w:rsidR="00D15FC2" w:rsidRPr="00D15FC2">
        <w:rPr>
          <w:i/>
          <w:iCs/>
          <w:szCs w:val="24"/>
        </w:rPr>
        <w:t>Poly-Wood</w:t>
      </w:r>
      <w:r w:rsidR="00D15FC2" w:rsidRPr="00D15FC2">
        <w:rPr>
          <w:szCs w:val="24"/>
        </w:rPr>
        <w:t xml:space="preserve"> (Doc. 45, p. 2 (same)); </w:t>
      </w:r>
      <w:r w:rsidR="00D15FC2" w:rsidRPr="00D15FC2">
        <w:rPr>
          <w:i/>
          <w:iCs/>
          <w:szCs w:val="24"/>
        </w:rPr>
        <w:t xml:space="preserve">The Hundreds </w:t>
      </w:r>
      <w:r w:rsidR="00D15FC2" w:rsidRPr="00D15FC2">
        <w:rPr>
          <w:szCs w:val="24"/>
        </w:rPr>
        <w:t xml:space="preserve">(Doc. 41, p. 3 (Tucker, Abramowicz, Steiger, and Moore)); </w:t>
      </w:r>
      <w:r w:rsidR="00D15FC2" w:rsidRPr="00D15FC2">
        <w:rPr>
          <w:i/>
          <w:iCs/>
          <w:szCs w:val="24"/>
        </w:rPr>
        <w:t xml:space="preserve">Optavia </w:t>
      </w:r>
      <w:r w:rsidR="00D15FC2" w:rsidRPr="00D15FC2">
        <w:rPr>
          <w:szCs w:val="24"/>
        </w:rPr>
        <w:t xml:space="preserve">(Doc. 38, p. 3 (same)); </w:t>
      </w:r>
      <w:r w:rsidR="00D15FC2" w:rsidRPr="00D15FC2">
        <w:rPr>
          <w:i/>
          <w:iCs/>
          <w:szCs w:val="24"/>
        </w:rPr>
        <w:t>P.C. Richard</w:t>
      </w:r>
      <w:r w:rsidR="00D15FC2" w:rsidRPr="00D15FC2">
        <w:rPr>
          <w:szCs w:val="24"/>
        </w:rPr>
        <w:t xml:space="preserve"> (Doc. 46, p. 2 (same)); and </w:t>
      </w:r>
      <w:r w:rsidR="00D15FC2" w:rsidRPr="00D15FC2">
        <w:rPr>
          <w:i/>
          <w:iCs/>
          <w:szCs w:val="24"/>
        </w:rPr>
        <w:t xml:space="preserve">Le Sportsac </w:t>
      </w:r>
      <w:r w:rsidR="00D15FC2" w:rsidRPr="00D15FC2">
        <w:rPr>
          <w:szCs w:val="24"/>
        </w:rPr>
        <w:t xml:space="preserve">(Doc. 45, p. 2 (same)). Courts have also found East End Trial Group to have adequately represented the classes in: </w:t>
      </w:r>
      <w:r w:rsidR="00D15FC2" w:rsidRPr="00D15FC2">
        <w:rPr>
          <w:i/>
          <w:iCs/>
          <w:szCs w:val="24"/>
        </w:rPr>
        <w:t>Butela v. Midland Credit Mgmt. Inc.</w:t>
      </w:r>
      <w:r w:rsidR="00D15FC2" w:rsidRPr="00D15FC2">
        <w:rPr>
          <w:szCs w:val="24"/>
        </w:rPr>
        <w:t>,</w:t>
      </w:r>
      <w:r w:rsidR="00D15FC2" w:rsidRPr="00D15FC2">
        <w:rPr>
          <w:i/>
          <w:iCs/>
          <w:szCs w:val="24"/>
        </w:rPr>
        <w:t xml:space="preserve"> </w:t>
      </w:r>
      <w:r w:rsidR="00D15FC2" w:rsidRPr="00D15FC2">
        <w:rPr>
          <w:szCs w:val="24"/>
        </w:rPr>
        <w:t xml:space="preserve">341 F.R.D. 581, 598 (W.D. Pa. 2022); </w:t>
      </w:r>
      <w:r w:rsidR="00D15FC2" w:rsidRPr="00D15FC2">
        <w:rPr>
          <w:i/>
          <w:iCs/>
          <w:szCs w:val="24"/>
        </w:rPr>
        <w:t>Haston v. Phillips &amp; Cohen Assocs. Ltd.</w:t>
      </w:r>
      <w:r w:rsidR="00D15FC2" w:rsidRPr="00D15FC2">
        <w:rPr>
          <w:szCs w:val="24"/>
        </w:rPr>
        <w:t xml:space="preserve">, No. 2:20-cv-01069, Doc. 58 at </w:t>
      </w:r>
      <w:r w:rsidR="00F72065">
        <w:rPr>
          <w:szCs w:val="24"/>
        </w:rPr>
        <w:br/>
      </w:r>
      <w:r w:rsidR="00D15FC2" w:rsidRPr="00D15FC2">
        <w:rPr>
          <w:szCs w:val="24"/>
        </w:rPr>
        <w:t xml:space="preserve">¶ 12(d) (W.D. Pa. May 17, 2022); and </w:t>
      </w:r>
      <w:r w:rsidR="00D15FC2" w:rsidRPr="00D15FC2">
        <w:rPr>
          <w:i/>
          <w:iCs/>
          <w:szCs w:val="24"/>
        </w:rPr>
        <w:t>Howard v. LVNV Funding, LLC</w:t>
      </w:r>
      <w:r w:rsidR="00D15FC2" w:rsidRPr="00D15FC2">
        <w:rPr>
          <w:szCs w:val="24"/>
        </w:rPr>
        <w:t xml:space="preserve">, No. 3:19-cv-00093, 2023 U.S. </w:t>
      </w:r>
      <w:r w:rsidR="00D15FC2" w:rsidRPr="003C3785">
        <w:rPr>
          <w:szCs w:val="24"/>
        </w:rPr>
        <w:t>Dist. LEXIS 52294, at *18-21 (W.D. Pa. Mar. 22, 2023).</w:t>
      </w:r>
    </w:p>
    <w:p w14:paraId="7DC88460" w14:textId="2B1AD38F" w:rsidR="00095508" w:rsidRPr="00792075" w:rsidRDefault="007C2398" w:rsidP="00897D67">
      <w:pPr>
        <w:spacing w:line="480" w:lineRule="auto"/>
        <w:ind w:firstLine="720"/>
        <w:jc w:val="both"/>
        <w:rPr>
          <w:szCs w:val="24"/>
        </w:rPr>
      </w:pPr>
      <w:r w:rsidRPr="003C3785">
        <w:rPr>
          <w:szCs w:val="24"/>
        </w:rPr>
        <w:t>Considering</w:t>
      </w:r>
      <w:r w:rsidR="003535BC" w:rsidRPr="003C3785">
        <w:rPr>
          <w:szCs w:val="24"/>
        </w:rPr>
        <w:t xml:space="preserve"> the prevailing rates for Title III class litigation in the Western District of Pennsylvania, the rates at which Class Counsel have been approved previously, and </w:t>
      </w:r>
      <w:r w:rsidR="003E17A7" w:rsidRPr="003C3785">
        <w:rPr>
          <w:szCs w:val="24"/>
        </w:rPr>
        <w:t xml:space="preserve">the experience of </w:t>
      </w:r>
      <w:r w:rsidR="003535BC" w:rsidRPr="003C3785">
        <w:rPr>
          <w:szCs w:val="24"/>
        </w:rPr>
        <w:t>Class Counsel</w:t>
      </w:r>
      <w:r w:rsidR="003535BC" w:rsidRPr="00792075">
        <w:rPr>
          <w:szCs w:val="24"/>
        </w:rPr>
        <w:t>, the hourly rates described above are reasonable</w:t>
      </w:r>
      <w:r w:rsidR="007926FA" w:rsidRPr="00792075">
        <w:rPr>
          <w:szCs w:val="24"/>
        </w:rPr>
        <w:t>.</w:t>
      </w:r>
      <w:r w:rsidR="00897D67" w:rsidRPr="00792075">
        <w:rPr>
          <w:szCs w:val="24"/>
        </w:rPr>
        <w:t xml:space="preserve"> </w:t>
      </w:r>
      <w:r w:rsidR="008B74F2" w:rsidRPr="00792075">
        <w:rPr>
          <w:szCs w:val="24"/>
        </w:rPr>
        <w:t>T</w:t>
      </w:r>
      <w:r w:rsidR="008B74F2" w:rsidRPr="00792075">
        <w:rPr>
          <w:iCs/>
          <w:szCs w:val="24"/>
        </w:rPr>
        <w:t xml:space="preserve">he requested </w:t>
      </w:r>
      <w:r w:rsidR="003E17A7" w:rsidRPr="00792075">
        <w:rPr>
          <w:iCs/>
          <w:szCs w:val="24"/>
        </w:rPr>
        <w:t>fees are</w:t>
      </w:r>
      <w:r w:rsidR="008B74F2" w:rsidRPr="00792075">
        <w:rPr>
          <w:iCs/>
          <w:szCs w:val="24"/>
        </w:rPr>
        <w:t xml:space="preserve"> reasonable and should be approved</w:t>
      </w:r>
      <w:r w:rsidR="008B74F2" w:rsidRPr="00792075">
        <w:rPr>
          <w:szCs w:val="24"/>
        </w:rPr>
        <w:t>.</w:t>
      </w:r>
    </w:p>
    <w:p w14:paraId="657A05D3" w14:textId="7C18E8BF" w:rsidR="006502FC" w:rsidRPr="00792075" w:rsidRDefault="00B23FD8" w:rsidP="00E458A2">
      <w:pPr>
        <w:pStyle w:val="ListParagraph"/>
        <w:keepNext/>
        <w:numPr>
          <w:ilvl w:val="0"/>
          <w:numId w:val="9"/>
        </w:numPr>
        <w:spacing w:after="240"/>
        <w:ind w:left="1440" w:right="720" w:hanging="720"/>
        <w:contextualSpacing w:val="0"/>
        <w:rPr>
          <w:b/>
          <w:bCs/>
          <w:szCs w:val="24"/>
        </w:rPr>
      </w:pPr>
      <w:r w:rsidRPr="00792075">
        <w:rPr>
          <w:b/>
          <w:bCs/>
          <w:szCs w:val="24"/>
        </w:rPr>
        <w:t>Plaintiff Is Entitled To Reasonable Fees And Costs For Future Work</w:t>
      </w:r>
    </w:p>
    <w:p w14:paraId="5FEB5638" w14:textId="5C8F7B7D" w:rsidR="00A72C04" w:rsidRPr="00855D2E" w:rsidRDefault="006502FC" w:rsidP="00B3601D">
      <w:pPr>
        <w:spacing w:line="480" w:lineRule="auto"/>
        <w:ind w:firstLine="720"/>
        <w:jc w:val="both"/>
        <w:rPr>
          <w:szCs w:val="24"/>
        </w:rPr>
      </w:pPr>
      <w:r w:rsidRPr="000F2936">
        <w:rPr>
          <w:szCs w:val="24"/>
        </w:rPr>
        <w:t xml:space="preserve">Plaintiff is entitled to reasonable fees for monitoring </w:t>
      </w:r>
      <w:r w:rsidR="008B74F2" w:rsidRPr="000F2936">
        <w:rPr>
          <w:szCs w:val="24"/>
        </w:rPr>
        <w:t>Defendant’s</w:t>
      </w:r>
      <w:r w:rsidR="00916F3D" w:rsidRPr="000F2936">
        <w:rPr>
          <w:szCs w:val="24"/>
        </w:rPr>
        <w:t xml:space="preserve"> </w:t>
      </w:r>
      <w:r w:rsidRPr="000F2936">
        <w:rPr>
          <w:szCs w:val="24"/>
        </w:rPr>
        <w:t xml:space="preserve">compliance with the </w:t>
      </w:r>
      <w:r w:rsidR="008B74F2" w:rsidRPr="000F2936">
        <w:rPr>
          <w:szCs w:val="24"/>
        </w:rPr>
        <w:t>Agreement</w:t>
      </w:r>
      <w:r w:rsidRPr="000F2936">
        <w:rPr>
          <w:szCs w:val="24"/>
        </w:rPr>
        <w:t>.</w:t>
      </w:r>
      <w:r w:rsidR="008B74F2" w:rsidRPr="000F2936">
        <w:rPr>
          <w:szCs w:val="24"/>
        </w:rPr>
        <w:t xml:space="preserve"> </w:t>
      </w:r>
      <w:r w:rsidRPr="000F2936">
        <w:rPr>
          <w:i/>
          <w:iCs/>
          <w:szCs w:val="24"/>
        </w:rPr>
        <w:t>Del</w:t>
      </w:r>
      <w:r w:rsidR="007B1B0F" w:rsidRPr="000F2936">
        <w:rPr>
          <w:i/>
          <w:iCs/>
          <w:szCs w:val="24"/>
        </w:rPr>
        <w:t>.</w:t>
      </w:r>
      <w:r w:rsidRPr="000F2936">
        <w:rPr>
          <w:i/>
          <w:iCs/>
          <w:szCs w:val="24"/>
        </w:rPr>
        <w:t xml:space="preserve"> Valley Citizens’ Council for Clean Air</w:t>
      </w:r>
      <w:r w:rsidRPr="000F2936">
        <w:rPr>
          <w:szCs w:val="24"/>
        </w:rPr>
        <w:t xml:space="preserve">, 478 U.S. </w:t>
      </w:r>
      <w:r w:rsidR="008B74F2" w:rsidRPr="000F2936">
        <w:rPr>
          <w:szCs w:val="24"/>
        </w:rPr>
        <w:t xml:space="preserve">at </w:t>
      </w:r>
      <w:r w:rsidRPr="000F2936">
        <w:rPr>
          <w:szCs w:val="24"/>
        </w:rPr>
        <w:t>55</w:t>
      </w:r>
      <w:r w:rsidR="007B1B0F" w:rsidRPr="000F2936">
        <w:rPr>
          <w:szCs w:val="24"/>
        </w:rPr>
        <w:t>9</w:t>
      </w:r>
      <w:r w:rsidR="00A72C04" w:rsidRPr="000F2936">
        <w:rPr>
          <w:szCs w:val="24"/>
        </w:rPr>
        <w:t>;</w:t>
      </w:r>
      <w:r w:rsidR="00A72C04" w:rsidRPr="000F2936">
        <w:rPr>
          <w:i/>
          <w:iCs/>
          <w:szCs w:val="24"/>
        </w:rPr>
        <w:t xml:space="preserve"> People Against Police Violence</w:t>
      </w:r>
      <w:r w:rsidR="00A72C04" w:rsidRPr="000F2936">
        <w:rPr>
          <w:szCs w:val="24"/>
        </w:rPr>
        <w:t xml:space="preserve">, 520 F.3d </w:t>
      </w:r>
      <w:r w:rsidR="008B74F2" w:rsidRPr="000F2936">
        <w:rPr>
          <w:szCs w:val="24"/>
        </w:rPr>
        <w:t>at</w:t>
      </w:r>
      <w:r w:rsidR="00A72C04" w:rsidRPr="000F2936">
        <w:rPr>
          <w:szCs w:val="24"/>
        </w:rPr>
        <w:t xml:space="preserve"> 235</w:t>
      </w:r>
      <w:r w:rsidR="00284384" w:rsidRPr="000F2936">
        <w:rPr>
          <w:szCs w:val="24"/>
        </w:rPr>
        <w:fldChar w:fldCharType="begin"/>
      </w:r>
      <w:r w:rsidR="00284384" w:rsidRPr="000F2936">
        <w:rPr>
          <w:szCs w:val="24"/>
        </w:rPr>
        <w:instrText xml:space="preserve"> TA \s "People Against Police Violence v. City of Pittsburgh, 520 F.3d 226, 232 (3d Cir. 2008)" </w:instrText>
      </w:r>
      <w:r w:rsidR="00284384" w:rsidRPr="000F2936">
        <w:rPr>
          <w:szCs w:val="24"/>
        </w:rPr>
        <w:fldChar w:fldCharType="end"/>
      </w:r>
      <w:r w:rsidR="00A72C04" w:rsidRPr="000F2936">
        <w:rPr>
          <w:szCs w:val="24"/>
        </w:rPr>
        <w:t>;</w:t>
      </w:r>
      <w:r w:rsidR="008B74F2" w:rsidRPr="000F2936">
        <w:rPr>
          <w:szCs w:val="24"/>
        </w:rPr>
        <w:t xml:space="preserve"> </w:t>
      </w:r>
      <w:r w:rsidR="00A72C04" w:rsidRPr="000F2936">
        <w:rPr>
          <w:szCs w:val="24"/>
        </w:rPr>
        <w:t xml:space="preserve">Judgment Approving Class Action Settlement, </w:t>
      </w:r>
      <w:r w:rsidR="00A72C04" w:rsidRPr="000F2936">
        <w:rPr>
          <w:i/>
          <w:iCs/>
          <w:szCs w:val="24"/>
        </w:rPr>
        <w:t xml:space="preserve">Heinzl v. Cracker Barrel </w:t>
      </w:r>
      <w:r w:rsidR="00A72C04" w:rsidRPr="000F2936">
        <w:rPr>
          <w:i/>
          <w:iCs/>
          <w:szCs w:val="24"/>
        </w:rPr>
        <w:lastRenderedPageBreak/>
        <w:t>Old Country Store, Inc.</w:t>
      </w:r>
      <w:r w:rsidR="00A72C04" w:rsidRPr="000F2936">
        <w:rPr>
          <w:szCs w:val="24"/>
        </w:rPr>
        <w:t>, No. 2:14-cv-01455</w:t>
      </w:r>
      <w:r w:rsidR="00916F3D" w:rsidRPr="000F2936">
        <w:rPr>
          <w:szCs w:val="24"/>
        </w:rPr>
        <w:t>, Doc. 172</w:t>
      </w:r>
      <w:r w:rsidR="0076278D" w:rsidRPr="000F2936">
        <w:rPr>
          <w:szCs w:val="24"/>
        </w:rPr>
        <w:t>, ¶ 11</w:t>
      </w:r>
      <w:r w:rsidR="0039584C" w:rsidRPr="000F2936">
        <w:rPr>
          <w:szCs w:val="24"/>
        </w:rPr>
        <w:t xml:space="preserve"> (W.D. Pa.</w:t>
      </w:r>
      <w:r w:rsidR="0076278D" w:rsidRPr="000F2936">
        <w:rPr>
          <w:szCs w:val="24"/>
        </w:rPr>
        <w:t xml:space="preserve"> Aug. 10, </w:t>
      </w:r>
      <w:r w:rsidR="0039584C" w:rsidRPr="000F2936">
        <w:rPr>
          <w:szCs w:val="24"/>
        </w:rPr>
        <w:t>2017)</w:t>
      </w:r>
      <w:r w:rsidR="00284384" w:rsidRPr="000F2936">
        <w:rPr>
          <w:szCs w:val="24"/>
        </w:rPr>
        <w:fldChar w:fldCharType="begin"/>
      </w:r>
      <w:r w:rsidR="00284384" w:rsidRPr="000F2936">
        <w:rPr>
          <w:szCs w:val="24"/>
        </w:rPr>
        <w:instrText xml:space="preserve"> TA \l "</w:instrText>
      </w:r>
      <w:r w:rsidR="00284384" w:rsidRPr="000F2936">
        <w:rPr>
          <w:i/>
          <w:iCs/>
          <w:szCs w:val="24"/>
        </w:rPr>
        <w:instrText>Heinzl v. Cracker Barrel Old Country Store, Inc.</w:instrText>
      </w:r>
      <w:r w:rsidR="00284384" w:rsidRPr="000F2936">
        <w:rPr>
          <w:i/>
          <w:iCs/>
          <w:szCs w:val="24"/>
        </w:rPr>
        <w:br/>
      </w:r>
      <w:r w:rsidR="00284384" w:rsidRPr="000F2936">
        <w:rPr>
          <w:szCs w:val="24"/>
        </w:rPr>
        <w:instrText xml:space="preserve">No. 2:14-cv-01455 (W.D. Pa. 2017)" \s "Heinzl v. Cracker Barrel Old Country Store, Inc., No. 2:14-cv-01455, Doc. 172 (W.D. Pa. 2017)" \c 1 </w:instrText>
      </w:r>
      <w:r w:rsidR="00284384" w:rsidRPr="000F2936">
        <w:rPr>
          <w:szCs w:val="24"/>
        </w:rPr>
        <w:fldChar w:fldCharType="end"/>
      </w:r>
      <w:r w:rsidR="00916F3D" w:rsidRPr="000F2936">
        <w:rPr>
          <w:szCs w:val="24"/>
        </w:rPr>
        <w:t xml:space="preserve"> </w:t>
      </w:r>
      <w:r w:rsidR="0039584C" w:rsidRPr="000F2936">
        <w:rPr>
          <w:szCs w:val="24"/>
        </w:rPr>
        <w:t>(</w:t>
      </w:r>
      <w:r w:rsidR="0076278D" w:rsidRPr="000F2936">
        <w:rPr>
          <w:szCs w:val="24"/>
        </w:rPr>
        <w:t>finding</w:t>
      </w:r>
      <w:r w:rsidR="0039584C" w:rsidRPr="000F2936">
        <w:rPr>
          <w:szCs w:val="24"/>
        </w:rPr>
        <w:t xml:space="preserve"> </w:t>
      </w:r>
      <w:r w:rsidR="00916F3D" w:rsidRPr="000F2936">
        <w:rPr>
          <w:szCs w:val="24"/>
        </w:rPr>
        <w:t>d</w:t>
      </w:r>
      <w:r w:rsidR="0039584C" w:rsidRPr="000F2936">
        <w:rPr>
          <w:szCs w:val="24"/>
        </w:rPr>
        <w:t>efendant’s agreement “to pay $830,000</w:t>
      </w:r>
      <w:r w:rsidR="0076278D" w:rsidRPr="000F2936">
        <w:rPr>
          <w:szCs w:val="24"/>
        </w:rPr>
        <w:t>.00</w:t>
      </w:r>
      <w:r w:rsidR="0039584C" w:rsidRPr="000F2936">
        <w:rPr>
          <w:szCs w:val="24"/>
        </w:rPr>
        <w:t xml:space="preserve"> for </w:t>
      </w:r>
      <w:r w:rsidR="00864555">
        <w:rPr>
          <w:szCs w:val="24"/>
        </w:rPr>
        <w:t>c</w:t>
      </w:r>
      <w:r w:rsidR="0039584C" w:rsidRPr="000F2936">
        <w:rPr>
          <w:szCs w:val="24"/>
        </w:rPr>
        <w:t xml:space="preserve">lass </w:t>
      </w:r>
      <w:r w:rsidR="00864555">
        <w:rPr>
          <w:szCs w:val="24"/>
        </w:rPr>
        <w:t>c</w:t>
      </w:r>
      <w:r w:rsidR="0039584C" w:rsidRPr="000F2936">
        <w:rPr>
          <w:szCs w:val="24"/>
        </w:rPr>
        <w:t xml:space="preserve">ounsel’s reasonable fees, </w:t>
      </w:r>
      <w:r w:rsidR="0039584C" w:rsidRPr="00855D2E">
        <w:rPr>
          <w:szCs w:val="24"/>
        </w:rPr>
        <w:t>future monitoring fees and allowable costs” to be “fair and reasonable”)</w:t>
      </w:r>
      <w:r w:rsidR="008B74F2" w:rsidRPr="00855D2E">
        <w:rPr>
          <w:szCs w:val="24"/>
        </w:rPr>
        <w:t>.</w:t>
      </w:r>
    </w:p>
    <w:p w14:paraId="6B89F9BD" w14:textId="09264EC2" w:rsidR="007137A0" w:rsidRPr="00855D2E" w:rsidRDefault="006502FC" w:rsidP="00B3601D">
      <w:pPr>
        <w:spacing w:line="480" w:lineRule="auto"/>
        <w:ind w:firstLine="720"/>
        <w:jc w:val="both"/>
        <w:rPr>
          <w:szCs w:val="24"/>
        </w:rPr>
      </w:pPr>
      <w:r w:rsidRPr="00855D2E">
        <w:rPr>
          <w:szCs w:val="24"/>
        </w:rPr>
        <w:t xml:space="preserve">Class Counsel will monitor </w:t>
      </w:r>
      <w:r w:rsidR="008B74F2" w:rsidRPr="00855D2E">
        <w:rPr>
          <w:szCs w:val="24"/>
        </w:rPr>
        <w:t>Defendant’s</w:t>
      </w:r>
      <w:r w:rsidR="00916F3D" w:rsidRPr="00855D2E">
        <w:rPr>
          <w:szCs w:val="24"/>
        </w:rPr>
        <w:t xml:space="preserve"> </w:t>
      </w:r>
      <w:r w:rsidR="0039584C" w:rsidRPr="00855D2E">
        <w:rPr>
          <w:szCs w:val="24"/>
        </w:rPr>
        <w:t>online store</w:t>
      </w:r>
      <w:r w:rsidR="00855D2E" w:rsidRPr="00855D2E">
        <w:rPr>
          <w:szCs w:val="24"/>
        </w:rPr>
        <w:t>s</w:t>
      </w:r>
      <w:r w:rsidRPr="00855D2E">
        <w:rPr>
          <w:szCs w:val="24"/>
        </w:rPr>
        <w:t xml:space="preserve"> to ensure </w:t>
      </w:r>
      <w:r w:rsidR="008B74F2" w:rsidRPr="00855D2E">
        <w:rPr>
          <w:szCs w:val="24"/>
        </w:rPr>
        <w:t>Defendant</w:t>
      </w:r>
      <w:r w:rsidR="00916F3D" w:rsidRPr="00855D2E">
        <w:rPr>
          <w:szCs w:val="24"/>
        </w:rPr>
        <w:t xml:space="preserve"> </w:t>
      </w:r>
      <w:r w:rsidRPr="00855D2E">
        <w:rPr>
          <w:szCs w:val="24"/>
        </w:rPr>
        <w:t>compl</w:t>
      </w:r>
      <w:r w:rsidR="0039584C" w:rsidRPr="00855D2E">
        <w:rPr>
          <w:szCs w:val="24"/>
        </w:rPr>
        <w:t>ies</w:t>
      </w:r>
      <w:r w:rsidRPr="00855D2E">
        <w:rPr>
          <w:szCs w:val="24"/>
        </w:rPr>
        <w:t xml:space="preserve"> with the </w:t>
      </w:r>
      <w:r w:rsidR="0039584C" w:rsidRPr="00855D2E">
        <w:rPr>
          <w:szCs w:val="24"/>
        </w:rPr>
        <w:t xml:space="preserve">Agreement and </w:t>
      </w:r>
      <w:r w:rsidR="00AC4B1A" w:rsidRPr="00855D2E">
        <w:rPr>
          <w:szCs w:val="24"/>
        </w:rPr>
        <w:t xml:space="preserve">will </w:t>
      </w:r>
      <w:r w:rsidR="0039584C" w:rsidRPr="00855D2E">
        <w:rPr>
          <w:szCs w:val="24"/>
        </w:rPr>
        <w:t xml:space="preserve">assist </w:t>
      </w:r>
      <w:r w:rsidR="00855D2E" w:rsidRPr="00855D2E">
        <w:rPr>
          <w:szCs w:val="24"/>
        </w:rPr>
        <w:t>Settlement Class M</w:t>
      </w:r>
      <w:r w:rsidR="0039584C" w:rsidRPr="00855D2E">
        <w:rPr>
          <w:szCs w:val="24"/>
        </w:rPr>
        <w:t xml:space="preserve">embers should they encounter </w:t>
      </w:r>
      <w:r w:rsidR="007137A0" w:rsidRPr="00855D2E">
        <w:rPr>
          <w:szCs w:val="24"/>
        </w:rPr>
        <w:t xml:space="preserve">barriers during the </w:t>
      </w:r>
      <w:r w:rsidR="00AC4B1A" w:rsidRPr="00855D2E">
        <w:rPr>
          <w:szCs w:val="24"/>
        </w:rPr>
        <w:t xml:space="preserve">Agreement </w:t>
      </w:r>
      <w:r w:rsidR="00897D67" w:rsidRPr="00855D2E">
        <w:rPr>
          <w:szCs w:val="24"/>
        </w:rPr>
        <w:t>Term</w:t>
      </w:r>
      <w:r w:rsidRPr="00855D2E">
        <w:rPr>
          <w:szCs w:val="24"/>
        </w:rPr>
        <w:t>.</w:t>
      </w:r>
      <w:r w:rsidR="007137A0" w:rsidRPr="00855D2E">
        <w:rPr>
          <w:szCs w:val="24"/>
        </w:rPr>
        <w:t xml:space="preserve"> Below is a summary of </w:t>
      </w:r>
      <w:r w:rsidR="00897D67" w:rsidRPr="00855D2E">
        <w:rPr>
          <w:szCs w:val="24"/>
        </w:rPr>
        <w:t>these</w:t>
      </w:r>
      <w:r w:rsidR="007137A0" w:rsidRPr="00855D2E">
        <w:rPr>
          <w:szCs w:val="24"/>
        </w:rPr>
        <w:t xml:space="preserve"> ongoing obligations.</w:t>
      </w:r>
    </w:p>
    <w:tbl>
      <w:tblPr>
        <w:tblStyle w:val="TableGrid"/>
        <w:tblW w:w="0" w:type="auto"/>
        <w:tblLook w:val="04A0" w:firstRow="1" w:lastRow="0" w:firstColumn="1" w:lastColumn="0" w:noHBand="0" w:noVBand="1"/>
      </w:tblPr>
      <w:tblGrid>
        <w:gridCol w:w="2176"/>
        <w:gridCol w:w="4935"/>
        <w:gridCol w:w="2239"/>
      </w:tblGrid>
      <w:tr w:rsidR="007137A0" w:rsidRPr="008C6CED" w14:paraId="346D9C63" w14:textId="77777777" w:rsidTr="00F15285">
        <w:tc>
          <w:tcPr>
            <w:tcW w:w="2176" w:type="dxa"/>
            <w:shd w:val="clear" w:color="auto" w:fill="D9E2F3" w:themeFill="accent1" w:themeFillTint="33"/>
            <w:vAlign w:val="center"/>
          </w:tcPr>
          <w:p w14:paraId="156A5669" w14:textId="333047D9" w:rsidR="007137A0" w:rsidRPr="006E396D" w:rsidRDefault="007137A0" w:rsidP="00157F1C">
            <w:pPr>
              <w:spacing w:before="60" w:after="60"/>
              <w:jc w:val="center"/>
              <w:rPr>
                <w:b/>
                <w:bCs/>
                <w:szCs w:val="24"/>
              </w:rPr>
            </w:pPr>
            <w:r w:rsidRPr="006E396D">
              <w:rPr>
                <w:b/>
                <w:bCs/>
                <w:szCs w:val="24"/>
              </w:rPr>
              <w:t>Time from</w:t>
            </w:r>
            <w:r w:rsidR="00FC2C54" w:rsidRPr="006E396D">
              <w:rPr>
                <w:b/>
                <w:bCs/>
                <w:szCs w:val="24"/>
              </w:rPr>
              <w:br/>
            </w:r>
            <w:r w:rsidR="006E00BC" w:rsidRPr="006E396D">
              <w:rPr>
                <w:b/>
                <w:bCs/>
                <w:szCs w:val="24"/>
              </w:rPr>
              <w:t>Effective Date</w:t>
            </w:r>
          </w:p>
        </w:tc>
        <w:tc>
          <w:tcPr>
            <w:tcW w:w="4935" w:type="dxa"/>
            <w:shd w:val="clear" w:color="auto" w:fill="D9E2F3" w:themeFill="accent1" w:themeFillTint="33"/>
            <w:vAlign w:val="center"/>
          </w:tcPr>
          <w:p w14:paraId="2B81C9F2" w14:textId="4269F237" w:rsidR="007137A0" w:rsidRPr="006E396D" w:rsidRDefault="00665A11" w:rsidP="008C10F6">
            <w:pPr>
              <w:spacing w:before="60" w:after="60"/>
              <w:jc w:val="center"/>
              <w:rPr>
                <w:b/>
                <w:bCs/>
                <w:szCs w:val="24"/>
              </w:rPr>
            </w:pPr>
            <w:r w:rsidRPr="006E396D">
              <w:rPr>
                <w:b/>
                <w:bCs/>
                <w:szCs w:val="24"/>
              </w:rPr>
              <w:t>Class Counsel’s</w:t>
            </w:r>
            <w:r w:rsidR="007137A0" w:rsidRPr="006E396D">
              <w:rPr>
                <w:b/>
                <w:bCs/>
                <w:szCs w:val="24"/>
              </w:rPr>
              <w:t xml:space="preserve"> Obligation</w:t>
            </w:r>
          </w:p>
        </w:tc>
        <w:tc>
          <w:tcPr>
            <w:tcW w:w="2239" w:type="dxa"/>
            <w:shd w:val="clear" w:color="auto" w:fill="D9E2F3" w:themeFill="accent1" w:themeFillTint="33"/>
            <w:vAlign w:val="center"/>
          </w:tcPr>
          <w:p w14:paraId="2D2D0D8D" w14:textId="351F8BC3" w:rsidR="007137A0" w:rsidRPr="006E396D" w:rsidRDefault="00AF08CB" w:rsidP="00157F1C">
            <w:pPr>
              <w:spacing w:before="60" w:after="60"/>
              <w:jc w:val="center"/>
              <w:rPr>
                <w:b/>
                <w:bCs/>
                <w:szCs w:val="24"/>
              </w:rPr>
            </w:pPr>
            <w:r w:rsidRPr="006E396D">
              <w:rPr>
                <w:b/>
                <w:bCs/>
                <w:szCs w:val="24"/>
              </w:rPr>
              <w:t>Section of</w:t>
            </w:r>
            <w:r w:rsidR="007137A0" w:rsidRPr="006E396D">
              <w:rPr>
                <w:b/>
                <w:bCs/>
                <w:szCs w:val="24"/>
              </w:rPr>
              <w:t xml:space="preserve"> Settlement Agreement</w:t>
            </w:r>
          </w:p>
        </w:tc>
      </w:tr>
      <w:tr w:rsidR="00317367" w:rsidRPr="008C6CED" w14:paraId="52187349" w14:textId="77777777" w:rsidTr="00F15285">
        <w:tc>
          <w:tcPr>
            <w:tcW w:w="2176" w:type="dxa"/>
            <w:vAlign w:val="center"/>
          </w:tcPr>
          <w:p w14:paraId="591889F7" w14:textId="18D46ADB" w:rsidR="00317367" w:rsidRPr="00DE63B8" w:rsidRDefault="00317367" w:rsidP="00157F1C">
            <w:pPr>
              <w:spacing w:before="60" w:after="60"/>
              <w:jc w:val="center"/>
              <w:rPr>
                <w:szCs w:val="24"/>
              </w:rPr>
            </w:pPr>
            <w:r w:rsidRPr="00DE63B8">
              <w:rPr>
                <w:szCs w:val="24"/>
              </w:rPr>
              <w:t xml:space="preserve">3 </w:t>
            </w:r>
            <w:r w:rsidR="00930339" w:rsidRPr="00DE63B8">
              <w:rPr>
                <w:szCs w:val="24"/>
              </w:rPr>
              <w:t>m</w:t>
            </w:r>
            <w:r w:rsidRPr="00DE63B8">
              <w:rPr>
                <w:szCs w:val="24"/>
              </w:rPr>
              <w:t>onths</w:t>
            </w:r>
          </w:p>
        </w:tc>
        <w:tc>
          <w:tcPr>
            <w:tcW w:w="4935" w:type="dxa"/>
            <w:vAlign w:val="center"/>
          </w:tcPr>
          <w:p w14:paraId="1D71BA06" w14:textId="54273821" w:rsidR="00317367" w:rsidRPr="00DE63B8" w:rsidRDefault="00317367" w:rsidP="008C10F6">
            <w:pPr>
              <w:spacing w:before="60" w:after="60"/>
              <w:jc w:val="center"/>
              <w:rPr>
                <w:szCs w:val="24"/>
              </w:rPr>
            </w:pPr>
            <w:r w:rsidRPr="00DE63B8">
              <w:rPr>
                <w:szCs w:val="24"/>
              </w:rPr>
              <w:t xml:space="preserve">Confirm Defendant has designated an Accessibility </w:t>
            </w:r>
            <w:r w:rsidR="00450FA6" w:rsidRPr="00DE63B8">
              <w:rPr>
                <w:szCs w:val="24"/>
              </w:rPr>
              <w:t>Coordinat</w:t>
            </w:r>
            <w:r w:rsidR="00DE63B8" w:rsidRPr="00DE63B8">
              <w:rPr>
                <w:szCs w:val="24"/>
              </w:rPr>
              <w:t>ion Team</w:t>
            </w:r>
          </w:p>
        </w:tc>
        <w:tc>
          <w:tcPr>
            <w:tcW w:w="2239" w:type="dxa"/>
            <w:vAlign w:val="center"/>
          </w:tcPr>
          <w:p w14:paraId="2EFA443C" w14:textId="0400D619" w:rsidR="00317367" w:rsidRPr="00DE63B8" w:rsidRDefault="00DE63B8" w:rsidP="00157F1C">
            <w:pPr>
              <w:spacing w:before="60" w:after="60"/>
              <w:jc w:val="center"/>
              <w:rPr>
                <w:szCs w:val="24"/>
              </w:rPr>
            </w:pPr>
            <w:r w:rsidRPr="00DE63B8">
              <w:rPr>
                <w:szCs w:val="24"/>
              </w:rPr>
              <w:t>6</w:t>
            </w:r>
            <w:r w:rsidR="00317367" w:rsidRPr="00DE63B8">
              <w:rPr>
                <w:szCs w:val="24"/>
              </w:rPr>
              <w:t>.1</w:t>
            </w:r>
          </w:p>
        </w:tc>
      </w:tr>
      <w:tr w:rsidR="00317367" w:rsidRPr="008C6CED" w14:paraId="7407154B" w14:textId="77777777" w:rsidTr="00F15285">
        <w:tc>
          <w:tcPr>
            <w:tcW w:w="2176" w:type="dxa"/>
            <w:vAlign w:val="center"/>
          </w:tcPr>
          <w:p w14:paraId="7B58E97C" w14:textId="6F4AD8F3" w:rsidR="00317367" w:rsidRPr="008C6CED" w:rsidRDefault="00317367" w:rsidP="00157F1C">
            <w:pPr>
              <w:spacing w:before="60" w:after="60"/>
              <w:jc w:val="center"/>
              <w:rPr>
                <w:szCs w:val="24"/>
                <w:highlight w:val="yellow"/>
              </w:rPr>
            </w:pPr>
            <w:r w:rsidRPr="000C692E">
              <w:rPr>
                <w:szCs w:val="24"/>
              </w:rPr>
              <w:t xml:space="preserve">6 </w:t>
            </w:r>
            <w:r w:rsidR="00930339" w:rsidRPr="000C692E">
              <w:rPr>
                <w:szCs w:val="24"/>
              </w:rPr>
              <w:t>m</w:t>
            </w:r>
            <w:r w:rsidRPr="000C692E">
              <w:rPr>
                <w:szCs w:val="24"/>
              </w:rPr>
              <w:t>onths</w:t>
            </w:r>
          </w:p>
        </w:tc>
        <w:tc>
          <w:tcPr>
            <w:tcW w:w="4935" w:type="dxa"/>
            <w:vAlign w:val="center"/>
          </w:tcPr>
          <w:p w14:paraId="1D022160" w14:textId="483B15B1" w:rsidR="00317367" w:rsidRPr="008C6CED" w:rsidRDefault="00317367" w:rsidP="008C10F6">
            <w:pPr>
              <w:spacing w:before="60" w:after="60"/>
              <w:jc w:val="center"/>
              <w:rPr>
                <w:szCs w:val="24"/>
                <w:highlight w:val="yellow"/>
              </w:rPr>
            </w:pPr>
            <w:r w:rsidRPr="000C692E">
              <w:rPr>
                <w:szCs w:val="24"/>
              </w:rPr>
              <w:t xml:space="preserve">Review Defendant’s selection of an Accessibility Consultant </w:t>
            </w:r>
          </w:p>
        </w:tc>
        <w:tc>
          <w:tcPr>
            <w:tcW w:w="2239" w:type="dxa"/>
            <w:vAlign w:val="center"/>
          </w:tcPr>
          <w:p w14:paraId="75C725EE" w14:textId="5A7D5011" w:rsidR="00317367" w:rsidRPr="008C6CED" w:rsidRDefault="000C692E" w:rsidP="00157F1C">
            <w:pPr>
              <w:spacing w:before="60" w:after="60"/>
              <w:jc w:val="center"/>
              <w:rPr>
                <w:szCs w:val="24"/>
                <w:highlight w:val="yellow"/>
              </w:rPr>
            </w:pPr>
            <w:r w:rsidRPr="000C692E">
              <w:rPr>
                <w:szCs w:val="24"/>
              </w:rPr>
              <w:t>7</w:t>
            </w:r>
            <w:r w:rsidR="00317367" w:rsidRPr="000C692E">
              <w:rPr>
                <w:szCs w:val="24"/>
              </w:rPr>
              <w:t>.1</w:t>
            </w:r>
          </w:p>
        </w:tc>
      </w:tr>
      <w:tr w:rsidR="00930339" w:rsidRPr="008C6CED" w14:paraId="6D68D5A7" w14:textId="77777777" w:rsidTr="00F15285">
        <w:tc>
          <w:tcPr>
            <w:tcW w:w="2176" w:type="dxa"/>
            <w:vAlign w:val="center"/>
          </w:tcPr>
          <w:p w14:paraId="04552292" w14:textId="6786D3D7" w:rsidR="00930339" w:rsidRPr="00995971" w:rsidRDefault="00930339" w:rsidP="00157F1C">
            <w:pPr>
              <w:spacing w:before="60" w:after="60"/>
              <w:jc w:val="center"/>
              <w:rPr>
                <w:szCs w:val="24"/>
              </w:rPr>
            </w:pPr>
            <w:r w:rsidRPr="00995971">
              <w:rPr>
                <w:szCs w:val="24"/>
              </w:rPr>
              <w:t>9 months</w:t>
            </w:r>
          </w:p>
        </w:tc>
        <w:tc>
          <w:tcPr>
            <w:tcW w:w="4935" w:type="dxa"/>
            <w:vAlign w:val="center"/>
          </w:tcPr>
          <w:p w14:paraId="511BEAFE" w14:textId="625B797E" w:rsidR="00930339" w:rsidRPr="00995971" w:rsidRDefault="00930339" w:rsidP="008C10F6">
            <w:pPr>
              <w:spacing w:before="60" w:after="60"/>
              <w:jc w:val="center"/>
              <w:rPr>
                <w:szCs w:val="24"/>
              </w:rPr>
            </w:pPr>
            <w:r w:rsidRPr="00995971">
              <w:rPr>
                <w:szCs w:val="24"/>
              </w:rPr>
              <w:t>Review Defendant’s Accessibility Statement</w:t>
            </w:r>
          </w:p>
        </w:tc>
        <w:tc>
          <w:tcPr>
            <w:tcW w:w="2239" w:type="dxa"/>
            <w:vAlign w:val="center"/>
          </w:tcPr>
          <w:p w14:paraId="3712F5B4" w14:textId="01894F80" w:rsidR="00930339" w:rsidRPr="00995971" w:rsidRDefault="00930339" w:rsidP="00157F1C">
            <w:pPr>
              <w:spacing w:before="60" w:after="60"/>
              <w:jc w:val="center"/>
              <w:rPr>
                <w:szCs w:val="24"/>
              </w:rPr>
            </w:pPr>
            <w:r w:rsidRPr="00995971">
              <w:rPr>
                <w:szCs w:val="24"/>
              </w:rPr>
              <w:t>1</w:t>
            </w:r>
            <w:r w:rsidR="00995971" w:rsidRPr="00995971">
              <w:rPr>
                <w:szCs w:val="24"/>
              </w:rPr>
              <w:t>0</w:t>
            </w:r>
            <w:r w:rsidRPr="00995971">
              <w:rPr>
                <w:szCs w:val="24"/>
              </w:rPr>
              <w:t>.3</w:t>
            </w:r>
          </w:p>
        </w:tc>
      </w:tr>
      <w:tr w:rsidR="00930339" w:rsidRPr="008C6CED" w14:paraId="510663AC" w14:textId="77777777" w:rsidTr="00F15285">
        <w:tc>
          <w:tcPr>
            <w:tcW w:w="2176" w:type="dxa"/>
            <w:vAlign w:val="center"/>
          </w:tcPr>
          <w:p w14:paraId="4E703F5F" w14:textId="5312E0BE" w:rsidR="00930339" w:rsidRPr="001404DA" w:rsidRDefault="00930339" w:rsidP="00157F1C">
            <w:pPr>
              <w:spacing w:before="60" w:after="60"/>
              <w:jc w:val="center"/>
              <w:rPr>
                <w:szCs w:val="24"/>
              </w:rPr>
            </w:pPr>
            <w:r w:rsidRPr="001404DA">
              <w:rPr>
                <w:szCs w:val="24"/>
              </w:rPr>
              <w:t>12 months</w:t>
            </w:r>
          </w:p>
        </w:tc>
        <w:tc>
          <w:tcPr>
            <w:tcW w:w="4935" w:type="dxa"/>
            <w:vAlign w:val="center"/>
          </w:tcPr>
          <w:p w14:paraId="433BEC3D" w14:textId="43971C73" w:rsidR="00930339" w:rsidRPr="001404DA" w:rsidRDefault="00930339" w:rsidP="008C10F6">
            <w:pPr>
              <w:spacing w:before="60" w:after="60"/>
              <w:jc w:val="center"/>
              <w:rPr>
                <w:szCs w:val="24"/>
              </w:rPr>
            </w:pPr>
            <w:r w:rsidRPr="001404DA">
              <w:rPr>
                <w:szCs w:val="24"/>
              </w:rPr>
              <w:t xml:space="preserve">Confirm Defendant has posted the Accessibility Statement on </w:t>
            </w:r>
            <w:r w:rsidR="0003310E" w:rsidRPr="001404DA">
              <w:rPr>
                <w:szCs w:val="24"/>
              </w:rPr>
              <w:t>the</w:t>
            </w:r>
            <w:r w:rsidRPr="001404DA">
              <w:rPr>
                <w:szCs w:val="24"/>
              </w:rPr>
              <w:t xml:space="preserve"> Website</w:t>
            </w:r>
            <w:r w:rsidR="001404DA" w:rsidRPr="001404DA">
              <w:rPr>
                <w:szCs w:val="24"/>
              </w:rPr>
              <w:t>s</w:t>
            </w:r>
          </w:p>
        </w:tc>
        <w:tc>
          <w:tcPr>
            <w:tcW w:w="2239" w:type="dxa"/>
            <w:vAlign w:val="center"/>
          </w:tcPr>
          <w:p w14:paraId="6CE2B9FF" w14:textId="6FEEAE2C" w:rsidR="00930339" w:rsidRPr="001404DA" w:rsidRDefault="00930339" w:rsidP="00157F1C">
            <w:pPr>
              <w:spacing w:before="60" w:after="60"/>
              <w:jc w:val="center"/>
              <w:rPr>
                <w:szCs w:val="24"/>
              </w:rPr>
            </w:pPr>
            <w:r w:rsidRPr="001404DA">
              <w:rPr>
                <w:szCs w:val="24"/>
              </w:rPr>
              <w:t>1</w:t>
            </w:r>
            <w:r w:rsidR="001404DA">
              <w:rPr>
                <w:szCs w:val="24"/>
              </w:rPr>
              <w:t>0</w:t>
            </w:r>
            <w:r w:rsidRPr="001404DA">
              <w:rPr>
                <w:szCs w:val="24"/>
              </w:rPr>
              <w:t>.4</w:t>
            </w:r>
          </w:p>
        </w:tc>
      </w:tr>
      <w:tr w:rsidR="00317367" w:rsidRPr="008C6CED" w14:paraId="702142A1" w14:textId="77777777" w:rsidTr="00F15285">
        <w:tc>
          <w:tcPr>
            <w:tcW w:w="2176" w:type="dxa"/>
            <w:vAlign w:val="center"/>
          </w:tcPr>
          <w:p w14:paraId="6687E67A" w14:textId="214FBC5D" w:rsidR="00317367" w:rsidRPr="00BA3CFF" w:rsidRDefault="00317367" w:rsidP="00157F1C">
            <w:pPr>
              <w:spacing w:before="60" w:after="60"/>
              <w:jc w:val="center"/>
              <w:rPr>
                <w:szCs w:val="24"/>
              </w:rPr>
            </w:pPr>
            <w:r w:rsidRPr="00BA3CFF">
              <w:rPr>
                <w:szCs w:val="24"/>
              </w:rPr>
              <w:t xml:space="preserve">On receipt of </w:t>
            </w:r>
            <w:r w:rsidR="008C10F6" w:rsidRPr="00BA3CFF">
              <w:rPr>
                <w:szCs w:val="24"/>
              </w:rPr>
              <w:t xml:space="preserve">the </w:t>
            </w:r>
            <w:r w:rsidRPr="00BA3CFF">
              <w:rPr>
                <w:szCs w:val="24"/>
              </w:rPr>
              <w:t>first Annual Report</w:t>
            </w:r>
          </w:p>
        </w:tc>
        <w:tc>
          <w:tcPr>
            <w:tcW w:w="4935" w:type="dxa"/>
            <w:vAlign w:val="center"/>
          </w:tcPr>
          <w:p w14:paraId="06A1B542" w14:textId="4AB152F1" w:rsidR="00317367" w:rsidRPr="00BA3CFF" w:rsidRDefault="00317367" w:rsidP="008C10F6">
            <w:pPr>
              <w:spacing w:before="60" w:after="60"/>
              <w:jc w:val="center"/>
              <w:rPr>
                <w:szCs w:val="24"/>
              </w:rPr>
            </w:pPr>
            <w:r w:rsidRPr="00BA3CFF">
              <w:rPr>
                <w:szCs w:val="24"/>
              </w:rPr>
              <w:t xml:space="preserve">Review results of </w:t>
            </w:r>
            <w:r w:rsidR="00B3627E" w:rsidRPr="00BA3CFF">
              <w:rPr>
                <w:szCs w:val="24"/>
              </w:rPr>
              <w:t xml:space="preserve">the </w:t>
            </w:r>
            <w:r w:rsidR="00BA3CFF" w:rsidRPr="00BA3CFF">
              <w:rPr>
                <w:szCs w:val="24"/>
              </w:rPr>
              <w:t>i</w:t>
            </w:r>
            <w:r w:rsidRPr="00BA3CFF">
              <w:rPr>
                <w:szCs w:val="24"/>
              </w:rPr>
              <w:t>nitial Accessibility Audit</w:t>
            </w:r>
          </w:p>
        </w:tc>
        <w:tc>
          <w:tcPr>
            <w:tcW w:w="2239" w:type="dxa"/>
            <w:vAlign w:val="center"/>
          </w:tcPr>
          <w:p w14:paraId="04B35DC7" w14:textId="7CA952A0" w:rsidR="00317367" w:rsidRPr="00BA3CFF" w:rsidRDefault="00BA3CFF" w:rsidP="00157F1C">
            <w:pPr>
              <w:spacing w:before="60" w:after="60"/>
              <w:jc w:val="center"/>
              <w:rPr>
                <w:szCs w:val="24"/>
              </w:rPr>
            </w:pPr>
            <w:r w:rsidRPr="00BA3CFF">
              <w:rPr>
                <w:szCs w:val="24"/>
              </w:rPr>
              <w:t>8</w:t>
            </w:r>
            <w:r w:rsidR="00317367" w:rsidRPr="00BA3CFF">
              <w:rPr>
                <w:szCs w:val="24"/>
              </w:rPr>
              <w:t>.3</w:t>
            </w:r>
          </w:p>
        </w:tc>
      </w:tr>
      <w:tr w:rsidR="00930339" w:rsidRPr="008C6CED" w14:paraId="0A197D4E" w14:textId="77777777" w:rsidTr="00F15285">
        <w:tc>
          <w:tcPr>
            <w:tcW w:w="2176" w:type="dxa"/>
            <w:vAlign w:val="center"/>
          </w:tcPr>
          <w:p w14:paraId="225616A7" w14:textId="0B3C1471" w:rsidR="00930339" w:rsidRPr="00AE78CF" w:rsidRDefault="00930339" w:rsidP="00157F1C">
            <w:pPr>
              <w:spacing w:before="60" w:after="60"/>
              <w:jc w:val="center"/>
              <w:rPr>
                <w:szCs w:val="24"/>
              </w:rPr>
            </w:pPr>
            <w:r w:rsidRPr="00AE78CF">
              <w:rPr>
                <w:szCs w:val="24"/>
              </w:rPr>
              <w:t>18 months</w:t>
            </w:r>
          </w:p>
        </w:tc>
        <w:tc>
          <w:tcPr>
            <w:tcW w:w="4935" w:type="dxa"/>
            <w:vAlign w:val="center"/>
          </w:tcPr>
          <w:p w14:paraId="5BAFD60A" w14:textId="6F60AC0A" w:rsidR="00930339" w:rsidRPr="00AE78CF" w:rsidRDefault="00930339" w:rsidP="008C10F6">
            <w:pPr>
              <w:spacing w:before="60" w:after="60"/>
              <w:jc w:val="center"/>
              <w:rPr>
                <w:szCs w:val="24"/>
              </w:rPr>
            </w:pPr>
            <w:r w:rsidRPr="00AE78CF">
              <w:rPr>
                <w:szCs w:val="24"/>
              </w:rPr>
              <w:t>Review Defendant’s Accessibility Strategy</w:t>
            </w:r>
          </w:p>
        </w:tc>
        <w:tc>
          <w:tcPr>
            <w:tcW w:w="2239" w:type="dxa"/>
            <w:vAlign w:val="center"/>
          </w:tcPr>
          <w:p w14:paraId="03B32184" w14:textId="3144316D" w:rsidR="00930339" w:rsidRPr="00AE78CF" w:rsidRDefault="00AE78CF" w:rsidP="00157F1C">
            <w:pPr>
              <w:spacing w:before="60" w:after="60"/>
              <w:jc w:val="center"/>
              <w:rPr>
                <w:szCs w:val="24"/>
              </w:rPr>
            </w:pPr>
            <w:r w:rsidRPr="00AE78CF">
              <w:rPr>
                <w:szCs w:val="24"/>
              </w:rPr>
              <w:t>9</w:t>
            </w:r>
            <w:r w:rsidR="00930339" w:rsidRPr="00AE78CF">
              <w:rPr>
                <w:szCs w:val="24"/>
              </w:rPr>
              <w:t>.3</w:t>
            </w:r>
          </w:p>
        </w:tc>
      </w:tr>
      <w:tr w:rsidR="00930339" w:rsidRPr="008C6CED" w14:paraId="1194C748" w14:textId="77777777" w:rsidTr="00F15285">
        <w:tc>
          <w:tcPr>
            <w:tcW w:w="2176" w:type="dxa"/>
            <w:vAlign w:val="center"/>
          </w:tcPr>
          <w:p w14:paraId="6F14C9BC" w14:textId="060F133F" w:rsidR="00930339" w:rsidRPr="008C6CED" w:rsidRDefault="00930339" w:rsidP="00157F1C">
            <w:pPr>
              <w:spacing w:before="60" w:after="60"/>
              <w:jc w:val="center"/>
              <w:rPr>
                <w:szCs w:val="24"/>
                <w:highlight w:val="yellow"/>
              </w:rPr>
            </w:pPr>
            <w:r w:rsidRPr="005C1177">
              <w:rPr>
                <w:szCs w:val="24"/>
              </w:rPr>
              <w:t>18 months</w:t>
            </w:r>
          </w:p>
        </w:tc>
        <w:tc>
          <w:tcPr>
            <w:tcW w:w="4935" w:type="dxa"/>
            <w:vAlign w:val="center"/>
          </w:tcPr>
          <w:p w14:paraId="0B8C1C26" w14:textId="792CC297" w:rsidR="00930339" w:rsidRPr="008C6CED" w:rsidRDefault="00930339" w:rsidP="008C10F6">
            <w:pPr>
              <w:spacing w:before="60" w:after="60"/>
              <w:jc w:val="center"/>
              <w:rPr>
                <w:szCs w:val="24"/>
                <w:highlight w:val="yellow"/>
              </w:rPr>
            </w:pPr>
            <w:r w:rsidRPr="005C1177">
              <w:rPr>
                <w:szCs w:val="24"/>
              </w:rPr>
              <w:t>Confirm Defendant has posted an invisible link to the Accessibility Statement at the beginning of the Website</w:t>
            </w:r>
            <w:r w:rsidR="005C1177" w:rsidRPr="005C1177">
              <w:rPr>
                <w:szCs w:val="24"/>
              </w:rPr>
              <w:t>s</w:t>
            </w:r>
          </w:p>
        </w:tc>
        <w:tc>
          <w:tcPr>
            <w:tcW w:w="2239" w:type="dxa"/>
            <w:vAlign w:val="center"/>
          </w:tcPr>
          <w:p w14:paraId="1920922F" w14:textId="031C8BD3" w:rsidR="00930339" w:rsidRPr="008C6CED" w:rsidRDefault="00930339" w:rsidP="00157F1C">
            <w:pPr>
              <w:spacing w:before="60" w:after="60"/>
              <w:jc w:val="center"/>
              <w:rPr>
                <w:szCs w:val="24"/>
                <w:highlight w:val="yellow"/>
              </w:rPr>
            </w:pPr>
            <w:r w:rsidRPr="005C1177">
              <w:rPr>
                <w:szCs w:val="24"/>
              </w:rPr>
              <w:t>1</w:t>
            </w:r>
            <w:r w:rsidR="005C1177" w:rsidRPr="005C1177">
              <w:rPr>
                <w:szCs w:val="24"/>
              </w:rPr>
              <w:t>0</w:t>
            </w:r>
            <w:r w:rsidRPr="005C1177">
              <w:rPr>
                <w:szCs w:val="24"/>
              </w:rPr>
              <w:t>.5</w:t>
            </w:r>
          </w:p>
        </w:tc>
      </w:tr>
      <w:tr w:rsidR="00AF5637" w:rsidRPr="008C6CED" w14:paraId="526FD952" w14:textId="77777777" w:rsidTr="00F15285">
        <w:tc>
          <w:tcPr>
            <w:tcW w:w="2176" w:type="dxa"/>
            <w:vAlign w:val="center"/>
          </w:tcPr>
          <w:p w14:paraId="62F9C303" w14:textId="3C3ADC9A" w:rsidR="00AF5637" w:rsidRPr="008C6CED" w:rsidRDefault="00AF5637" w:rsidP="00157F1C">
            <w:pPr>
              <w:spacing w:before="60" w:after="60"/>
              <w:jc w:val="center"/>
              <w:rPr>
                <w:szCs w:val="24"/>
                <w:highlight w:val="yellow"/>
              </w:rPr>
            </w:pPr>
            <w:r w:rsidRPr="003E091F">
              <w:rPr>
                <w:szCs w:val="24"/>
              </w:rPr>
              <w:t xml:space="preserve">On receipt of </w:t>
            </w:r>
            <w:r w:rsidR="008C10F6" w:rsidRPr="003E091F">
              <w:rPr>
                <w:szCs w:val="24"/>
              </w:rPr>
              <w:t xml:space="preserve">the </w:t>
            </w:r>
            <w:r w:rsidRPr="003E091F">
              <w:rPr>
                <w:szCs w:val="24"/>
              </w:rPr>
              <w:t>Annual Report</w:t>
            </w:r>
          </w:p>
        </w:tc>
        <w:tc>
          <w:tcPr>
            <w:tcW w:w="4935" w:type="dxa"/>
            <w:vAlign w:val="center"/>
          </w:tcPr>
          <w:p w14:paraId="22BB24E8" w14:textId="7CBCE54C" w:rsidR="00AF5637" w:rsidRPr="008C6CED" w:rsidRDefault="00AF5637" w:rsidP="008C10F6">
            <w:pPr>
              <w:spacing w:before="60" w:after="60"/>
              <w:jc w:val="center"/>
              <w:rPr>
                <w:szCs w:val="24"/>
                <w:highlight w:val="yellow"/>
              </w:rPr>
            </w:pPr>
            <w:r w:rsidRPr="003E091F">
              <w:rPr>
                <w:szCs w:val="24"/>
              </w:rPr>
              <w:t>Review the Annual Report</w:t>
            </w:r>
          </w:p>
        </w:tc>
        <w:tc>
          <w:tcPr>
            <w:tcW w:w="2239" w:type="dxa"/>
            <w:vAlign w:val="center"/>
          </w:tcPr>
          <w:p w14:paraId="00839175" w14:textId="23A65A46" w:rsidR="00AF5637" w:rsidRPr="008C6CED" w:rsidRDefault="00AF5637" w:rsidP="00157F1C">
            <w:pPr>
              <w:spacing w:before="60" w:after="60"/>
              <w:jc w:val="center"/>
              <w:rPr>
                <w:szCs w:val="24"/>
                <w:highlight w:val="yellow"/>
              </w:rPr>
            </w:pPr>
            <w:r w:rsidRPr="003E091F">
              <w:rPr>
                <w:szCs w:val="24"/>
              </w:rPr>
              <w:t>2</w:t>
            </w:r>
            <w:r w:rsidR="003E091F" w:rsidRPr="003E091F">
              <w:rPr>
                <w:szCs w:val="24"/>
              </w:rPr>
              <w:t>1</w:t>
            </w:r>
            <w:r w:rsidRPr="003E091F">
              <w:rPr>
                <w:szCs w:val="24"/>
              </w:rPr>
              <w:t>.1</w:t>
            </w:r>
          </w:p>
        </w:tc>
      </w:tr>
      <w:tr w:rsidR="00317367" w:rsidRPr="008C6CED" w14:paraId="33386FB8" w14:textId="77777777" w:rsidTr="00F15285">
        <w:tc>
          <w:tcPr>
            <w:tcW w:w="2176" w:type="dxa"/>
            <w:vAlign w:val="center"/>
          </w:tcPr>
          <w:p w14:paraId="59A7B89B" w14:textId="57FC381F" w:rsidR="00317367" w:rsidRPr="00BD18E6" w:rsidRDefault="00317367" w:rsidP="00157F1C">
            <w:pPr>
              <w:spacing w:before="60" w:after="60"/>
              <w:jc w:val="center"/>
              <w:rPr>
                <w:szCs w:val="24"/>
              </w:rPr>
            </w:pPr>
            <w:r w:rsidRPr="00BD18E6">
              <w:rPr>
                <w:szCs w:val="24"/>
              </w:rPr>
              <w:t xml:space="preserve">On receipt of </w:t>
            </w:r>
            <w:r w:rsidR="008C10F6" w:rsidRPr="00BD18E6">
              <w:rPr>
                <w:szCs w:val="24"/>
              </w:rPr>
              <w:t xml:space="preserve">the </w:t>
            </w:r>
            <w:r w:rsidRPr="00BD18E6">
              <w:rPr>
                <w:szCs w:val="24"/>
              </w:rPr>
              <w:t>Annual Report</w:t>
            </w:r>
          </w:p>
        </w:tc>
        <w:tc>
          <w:tcPr>
            <w:tcW w:w="4935" w:type="dxa"/>
            <w:vAlign w:val="center"/>
          </w:tcPr>
          <w:p w14:paraId="1261FA89" w14:textId="0915AF63" w:rsidR="00317367" w:rsidRPr="00BD18E6" w:rsidRDefault="00317367" w:rsidP="008C10F6">
            <w:pPr>
              <w:spacing w:before="60" w:after="60"/>
              <w:jc w:val="center"/>
              <w:rPr>
                <w:szCs w:val="24"/>
              </w:rPr>
            </w:pPr>
            <w:r w:rsidRPr="00BD18E6">
              <w:rPr>
                <w:szCs w:val="24"/>
              </w:rPr>
              <w:t>Review Third-Party Content that Defendant cannot</w:t>
            </w:r>
            <w:r w:rsidR="0003310E" w:rsidRPr="00BD18E6">
              <w:rPr>
                <w:szCs w:val="24"/>
              </w:rPr>
              <w:t xml:space="preserve"> confirm</w:t>
            </w:r>
            <w:r w:rsidRPr="00BD18E6">
              <w:rPr>
                <w:szCs w:val="24"/>
              </w:rPr>
              <w:t xml:space="preserve"> is Accessible</w:t>
            </w:r>
          </w:p>
        </w:tc>
        <w:tc>
          <w:tcPr>
            <w:tcW w:w="2239" w:type="dxa"/>
            <w:vAlign w:val="center"/>
          </w:tcPr>
          <w:p w14:paraId="53D526A5" w14:textId="69664C3F" w:rsidR="00317367" w:rsidRPr="00BD18E6" w:rsidRDefault="00BD18E6" w:rsidP="00157F1C">
            <w:pPr>
              <w:spacing w:before="60" w:after="60"/>
              <w:jc w:val="center"/>
              <w:rPr>
                <w:szCs w:val="24"/>
              </w:rPr>
            </w:pPr>
            <w:r w:rsidRPr="00BD18E6">
              <w:rPr>
                <w:szCs w:val="24"/>
              </w:rPr>
              <w:t>5.3</w:t>
            </w:r>
          </w:p>
        </w:tc>
      </w:tr>
      <w:tr w:rsidR="00317367" w:rsidRPr="008C6CED" w14:paraId="5BEC1A2A" w14:textId="77777777" w:rsidTr="00F15285">
        <w:tc>
          <w:tcPr>
            <w:tcW w:w="2176" w:type="dxa"/>
            <w:vAlign w:val="center"/>
          </w:tcPr>
          <w:p w14:paraId="0C6E5660" w14:textId="6930C194" w:rsidR="00317367" w:rsidRPr="00584CC3" w:rsidRDefault="00317367" w:rsidP="00157F1C">
            <w:pPr>
              <w:spacing w:before="60" w:after="60"/>
              <w:jc w:val="center"/>
              <w:rPr>
                <w:szCs w:val="24"/>
              </w:rPr>
            </w:pPr>
            <w:r w:rsidRPr="00584CC3">
              <w:rPr>
                <w:szCs w:val="24"/>
              </w:rPr>
              <w:t xml:space="preserve">On receipt of </w:t>
            </w:r>
            <w:r w:rsidR="008C10F6" w:rsidRPr="00584CC3">
              <w:rPr>
                <w:szCs w:val="24"/>
              </w:rPr>
              <w:t xml:space="preserve">the </w:t>
            </w:r>
            <w:r w:rsidRPr="00584CC3">
              <w:rPr>
                <w:szCs w:val="24"/>
              </w:rPr>
              <w:t>Annual Report</w:t>
            </w:r>
          </w:p>
        </w:tc>
        <w:tc>
          <w:tcPr>
            <w:tcW w:w="4935" w:type="dxa"/>
            <w:vAlign w:val="center"/>
          </w:tcPr>
          <w:p w14:paraId="7FF45D90" w14:textId="548BC91A" w:rsidR="00317367" w:rsidRPr="00584CC3" w:rsidRDefault="00317367" w:rsidP="008C10F6">
            <w:pPr>
              <w:spacing w:before="60" w:after="60"/>
              <w:jc w:val="center"/>
              <w:rPr>
                <w:szCs w:val="24"/>
              </w:rPr>
            </w:pPr>
            <w:r w:rsidRPr="00584CC3">
              <w:rPr>
                <w:szCs w:val="24"/>
              </w:rPr>
              <w:t xml:space="preserve">Review </w:t>
            </w:r>
            <w:r w:rsidR="00FF3A72" w:rsidRPr="00584CC3">
              <w:rPr>
                <w:szCs w:val="24"/>
              </w:rPr>
              <w:t xml:space="preserve">the </w:t>
            </w:r>
            <w:r w:rsidRPr="00584CC3">
              <w:rPr>
                <w:szCs w:val="24"/>
              </w:rPr>
              <w:t>Status Report</w:t>
            </w:r>
          </w:p>
        </w:tc>
        <w:tc>
          <w:tcPr>
            <w:tcW w:w="2239" w:type="dxa"/>
            <w:vAlign w:val="center"/>
          </w:tcPr>
          <w:p w14:paraId="5CB66275" w14:textId="34DC75DE" w:rsidR="00317367" w:rsidRPr="00584CC3" w:rsidRDefault="00584CC3" w:rsidP="00157F1C">
            <w:pPr>
              <w:spacing w:before="60" w:after="60"/>
              <w:jc w:val="center"/>
              <w:rPr>
                <w:szCs w:val="24"/>
              </w:rPr>
            </w:pPr>
            <w:r w:rsidRPr="00584CC3">
              <w:rPr>
                <w:szCs w:val="24"/>
              </w:rPr>
              <w:t>7</w:t>
            </w:r>
            <w:r w:rsidR="00317367" w:rsidRPr="00584CC3">
              <w:rPr>
                <w:szCs w:val="24"/>
              </w:rPr>
              <w:t>.4</w:t>
            </w:r>
          </w:p>
        </w:tc>
      </w:tr>
      <w:tr w:rsidR="00930339" w:rsidRPr="008C6CED" w14:paraId="1E56CA70" w14:textId="77777777" w:rsidTr="00F15285">
        <w:tc>
          <w:tcPr>
            <w:tcW w:w="2176" w:type="dxa"/>
            <w:vAlign w:val="center"/>
          </w:tcPr>
          <w:p w14:paraId="6701679B" w14:textId="341D6089" w:rsidR="00930339" w:rsidRPr="00D74DD6" w:rsidRDefault="00930339" w:rsidP="00157F1C">
            <w:pPr>
              <w:spacing w:before="60" w:after="60"/>
              <w:jc w:val="center"/>
              <w:rPr>
                <w:szCs w:val="24"/>
              </w:rPr>
            </w:pPr>
            <w:r w:rsidRPr="00D74DD6">
              <w:rPr>
                <w:szCs w:val="24"/>
              </w:rPr>
              <w:t xml:space="preserve">On receipt of </w:t>
            </w:r>
            <w:r w:rsidR="008C10F6" w:rsidRPr="00D74DD6">
              <w:rPr>
                <w:szCs w:val="24"/>
              </w:rPr>
              <w:t xml:space="preserve">the </w:t>
            </w:r>
            <w:r w:rsidRPr="00D74DD6">
              <w:rPr>
                <w:szCs w:val="24"/>
              </w:rPr>
              <w:t>Annual Report</w:t>
            </w:r>
          </w:p>
        </w:tc>
        <w:tc>
          <w:tcPr>
            <w:tcW w:w="4935" w:type="dxa"/>
            <w:vAlign w:val="center"/>
          </w:tcPr>
          <w:p w14:paraId="3BF08AFD" w14:textId="12DCBE22" w:rsidR="00930339" w:rsidRPr="00D74DD6" w:rsidRDefault="00930339" w:rsidP="008C10F6">
            <w:pPr>
              <w:spacing w:before="60" w:after="60"/>
              <w:jc w:val="center"/>
              <w:rPr>
                <w:szCs w:val="24"/>
              </w:rPr>
            </w:pPr>
            <w:r w:rsidRPr="00D74DD6">
              <w:rPr>
                <w:szCs w:val="24"/>
              </w:rPr>
              <w:t xml:space="preserve">Review </w:t>
            </w:r>
            <w:r w:rsidR="003364DE" w:rsidRPr="00D74DD6">
              <w:rPr>
                <w:szCs w:val="24"/>
              </w:rPr>
              <w:t>a</w:t>
            </w:r>
            <w:r w:rsidRPr="00D74DD6">
              <w:rPr>
                <w:szCs w:val="24"/>
              </w:rPr>
              <w:t>ccessibility training materials</w:t>
            </w:r>
          </w:p>
        </w:tc>
        <w:tc>
          <w:tcPr>
            <w:tcW w:w="2239" w:type="dxa"/>
            <w:vAlign w:val="center"/>
          </w:tcPr>
          <w:p w14:paraId="1610D20C" w14:textId="3C44C816" w:rsidR="00930339" w:rsidRPr="00D74DD6" w:rsidRDefault="0060219C" w:rsidP="00157F1C">
            <w:pPr>
              <w:spacing w:before="60" w:after="60"/>
              <w:jc w:val="center"/>
              <w:rPr>
                <w:szCs w:val="24"/>
              </w:rPr>
            </w:pPr>
            <w:r w:rsidRPr="00D74DD6">
              <w:rPr>
                <w:szCs w:val="24"/>
              </w:rPr>
              <w:t>1</w:t>
            </w:r>
            <w:r w:rsidR="00D74DD6" w:rsidRPr="00D74DD6">
              <w:rPr>
                <w:szCs w:val="24"/>
              </w:rPr>
              <w:t>1</w:t>
            </w:r>
            <w:r w:rsidRPr="00D74DD6">
              <w:rPr>
                <w:szCs w:val="24"/>
              </w:rPr>
              <w:t>.5</w:t>
            </w:r>
          </w:p>
        </w:tc>
      </w:tr>
      <w:tr w:rsidR="00930339" w:rsidRPr="008C6CED" w14:paraId="5893F928" w14:textId="77777777" w:rsidTr="00F15285">
        <w:tc>
          <w:tcPr>
            <w:tcW w:w="2176" w:type="dxa"/>
            <w:vAlign w:val="center"/>
          </w:tcPr>
          <w:p w14:paraId="0D354936" w14:textId="282BBC28" w:rsidR="00930339" w:rsidRPr="00E225AC" w:rsidRDefault="00930339" w:rsidP="00157F1C">
            <w:pPr>
              <w:spacing w:before="60" w:after="60"/>
              <w:jc w:val="center"/>
              <w:rPr>
                <w:szCs w:val="24"/>
              </w:rPr>
            </w:pPr>
            <w:r w:rsidRPr="00E225AC">
              <w:rPr>
                <w:szCs w:val="24"/>
              </w:rPr>
              <w:t xml:space="preserve">On receipt of </w:t>
            </w:r>
            <w:r w:rsidR="008C10F6" w:rsidRPr="00E225AC">
              <w:rPr>
                <w:szCs w:val="24"/>
              </w:rPr>
              <w:t xml:space="preserve">the </w:t>
            </w:r>
            <w:r w:rsidRPr="00E225AC">
              <w:rPr>
                <w:szCs w:val="24"/>
              </w:rPr>
              <w:t>Annual Report</w:t>
            </w:r>
          </w:p>
        </w:tc>
        <w:tc>
          <w:tcPr>
            <w:tcW w:w="4935" w:type="dxa"/>
            <w:vAlign w:val="center"/>
          </w:tcPr>
          <w:p w14:paraId="50465497" w14:textId="4E15D015" w:rsidR="00930339" w:rsidRPr="00E225AC" w:rsidRDefault="00930339" w:rsidP="008C10F6">
            <w:pPr>
              <w:spacing w:before="60" w:after="60"/>
              <w:jc w:val="center"/>
              <w:rPr>
                <w:szCs w:val="24"/>
              </w:rPr>
            </w:pPr>
            <w:r w:rsidRPr="00E225AC">
              <w:rPr>
                <w:szCs w:val="24"/>
              </w:rPr>
              <w:t xml:space="preserve">Review </w:t>
            </w:r>
            <w:r w:rsidR="00AF5637" w:rsidRPr="00E225AC">
              <w:rPr>
                <w:szCs w:val="24"/>
              </w:rPr>
              <w:t xml:space="preserve">results of the </w:t>
            </w:r>
            <w:r w:rsidR="00E225AC" w:rsidRPr="00E225AC">
              <w:rPr>
                <w:szCs w:val="24"/>
              </w:rPr>
              <w:t>s</w:t>
            </w:r>
            <w:r w:rsidRPr="00E225AC">
              <w:rPr>
                <w:szCs w:val="24"/>
              </w:rPr>
              <w:t>emi-</w:t>
            </w:r>
            <w:r w:rsidR="00E225AC" w:rsidRPr="00E225AC">
              <w:rPr>
                <w:szCs w:val="24"/>
              </w:rPr>
              <w:t>a</w:t>
            </w:r>
            <w:r w:rsidRPr="00E225AC">
              <w:rPr>
                <w:szCs w:val="24"/>
              </w:rPr>
              <w:t xml:space="preserve">nnual </w:t>
            </w:r>
            <w:r w:rsidR="00E225AC" w:rsidRPr="00E225AC">
              <w:rPr>
                <w:szCs w:val="24"/>
              </w:rPr>
              <w:t>a</w:t>
            </w:r>
            <w:r w:rsidRPr="00E225AC">
              <w:rPr>
                <w:szCs w:val="24"/>
              </w:rPr>
              <w:t xml:space="preserve">utomated </w:t>
            </w:r>
            <w:r w:rsidR="00E225AC" w:rsidRPr="00E225AC">
              <w:rPr>
                <w:szCs w:val="24"/>
              </w:rPr>
              <w:t>a</w:t>
            </w:r>
            <w:r w:rsidRPr="00E225AC">
              <w:rPr>
                <w:szCs w:val="24"/>
              </w:rPr>
              <w:t xml:space="preserve">ccessibility </w:t>
            </w:r>
            <w:r w:rsidR="00E225AC" w:rsidRPr="00E225AC">
              <w:rPr>
                <w:szCs w:val="24"/>
              </w:rPr>
              <w:t>a</w:t>
            </w:r>
            <w:r w:rsidRPr="00E225AC">
              <w:rPr>
                <w:szCs w:val="24"/>
              </w:rPr>
              <w:t>udit</w:t>
            </w:r>
            <w:r w:rsidR="00E225AC" w:rsidRPr="00E225AC">
              <w:rPr>
                <w:szCs w:val="24"/>
              </w:rPr>
              <w:t>s</w:t>
            </w:r>
          </w:p>
        </w:tc>
        <w:tc>
          <w:tcPr>
            <w:tcW w:w="2239" w:type="dxa"/>
            <w:vAlign w:val="center"/>
          </w:tcPr>
          <w:p w14:paraId="3527F2A2" w14:textId="6F7B7922" w:rsidR="00930339" w:rsidRPr="00E225AC" w:rsidRDefault="00930339" w:rsidP="00157F1C">
            <w:pPr>
              <w:spacing w:before="60" w:after="60"/>
              <w:jc w:val="center"/>
              <w:rPr>
                <w:szCs w:val="24"/>
              </w:rPr>
            </w:pPr>
            <w:r w:rsidRPr="00E225AC">
              <w:rPr>
                <w:szCs w:val="24"/>
              </w:rPr>
              <w:t>1</w:t>
            </w:r>
            <w:r w:rsidR="00E225AC" w:rsidRPr="00E225AC">
              <w:rPr>
                <w:szCs w:val="24"/>
              </w:rPr>
              <w:t>4</w:t>
            </w:r>
            <w:r w:rsidRPr="00E225AC">
              <w:rPr>
                <w:szCs w:val="24"/>
              </w:rPr>
              <w:t>.2</w:t>
            </w:r>
          </w:p>
        </w:tc>
      </w:tr>
      <w:tr w:rsidR="00AF5637" w:rsidRPr="008C6CED" w14:paraId="2856F2A7" w14:textId="77777777" w:rsidTr="00F15285">
        <w:tc>
          <w:tcPr>
            <w:tcW w:w="2176" w:type="dxa"/>
            <w:vAlign w:val="center"/>
          </w:tcPr>
          <w:p w14:paraId="21B084D4" w14:textId="2A046241" w:rsidR="00AF5637" w:rsidRPr="00B27160" w:rsidRDefault="00AF5637" w:rsidP="00157F1C">
            <w:pPr>
              <w:spacing w:before="60" w:after="60"/>
              <w:jc w:val="center"/>
              <w:rPr>
                <w:szCs w:val="24"/>
              </w:rPr>
            </w:pPr>
            <w:r w:rsidRPr="00B27160">
              <w:rPr>
                <w:szCs w:val="24"/>
              </w:rPr>
              <w:t xml:space="preserve">On receipt of </w:t>
            </w:r>
            <w:r w:rsidR="008C10F6" w:rsidRPr="00B27160">
              <w:rPr>
                <w:szCs w:val="24"/>
              </w:rPr>
              <w:t xml:space="preserve">the </w:t>
            </w:r>
            <w:r w:rsidRPr="00B27160">
              <w:rPr>
                <w:szCs w:val="24"/>
              </w:rPr>
              <w:t>Annual Report</w:t>
            </w:r>
          </w:p>
        </w:tc>
        <w:tc>
          <w:tcPr>
            <w:tcW w:w="4935" w:type="dxa"/>
            <w:vAlign w:val="center"/>
          </w:tcPr>
          <w:p w14:paraId="0BE47423" w14:textId="12086913" w:rsidR="00AF5637" w:rsidRPr="00B27160" w:rsidRDefault="00AF5637" w:rsidP="008C10F6">
            <w:pPr>
              <w:spacing w:before="60" w:after="60"/>
              <w:jc w:val="center"/>
              <w:rPr>
                <w:szCs w:val="24"/>
              </w:rPr>
            </w:pPr>
            <w:r w:rsidRPr="00B27160">
              <w:rPr>
                <w:szCs w:val="24"/>
              </w:rPr>
              <w:t xml:space="preserve">Review results of the </w:t>
            </w:r>
            <w:r w:rsidR="00B27160" w:rsidRPr="00B27160">
              <w:rPr>
                <w:szCs w:val="24"/>
              </w:rPr>
              <w:t>a</w:t>
            </w:r>
            <w:r w:rsidRPr="00B27160">
              <w:rPr>
                <w:szCs w:val="24"/>
              </w:rPr>
              <w:t xml:space="preserve">nnual </w:t>
            </w:r>
            <w:r w:rsidR="00B27160" w:rsidRPr="00B27160">
              <w:rPr>
                <w:szCs w:val="24"/>
              </w:rPr>
              <w:t>e</w:t>
            </w:r>
            <w:r w:rsidRPr="00B27160">
              <w:rPr>
                <w:szCs w:val="24"/>
              </w:rPr>
              <w:t>nd-</w:t>
            </w:r>
            <w:r w:rsidR="00B27160" w:rsidRPr="00B27160">
              <w:rPr>
                <w:szCs w:val="24"/>
              </w:rPr>
              <w:t>u</w:t>
            </w:r>
            <w:r w:rsidRPr="00B27160">
              <w:rPr>
                <w:szCs w:val="24"/>
              </w:rPr>
              <w:t xml:space="preserve">ser </w:t>
            </w:r>
            <w:r w:rsidR="00B27160" w:rsidRPr="00B27160">
              <w:rPr>
                <w:szCs w:val="24"/>
              </w:rPr>
              <w:t>a</w:t>
            </w:r>
            <w:r w:rsidRPr="00B27160">
              <w:rPr>
                <w:szCs w:val="24"/>
              </w:rPr>
              <w:t xml:space="preserve">ccessibility </w:t>
            </w:r>
            <w:r w:rsidR="00B27160" w:rsidRPr="00B27160">
              <w:rPr>
                <w:szCs w:val="24"/>
              </w:rPr>
              <w:t>t</w:t>
            </w:r>
            <w:r w:rsidRPr="00B27160">
              <w:rPr>
                <w:szCs w:val="24"/>
              </w:rPr>
              <w:t>esting</w:t>
            </w:r>
          </w:p>
        </w:tc>
        <w:tc>
          <w:tcPr>
            <w:tcW w:w="2239" w:type="dxa"/>
            <w:vAlign w:val="center"/>
          </w:tcPr>
          <w:p w14:paraId="56482241" w14:textId="75D64ED1" w:rsidR="00AF5637" w:rsidRPr="00B27160" w:rsidRDefault="00AF5637" w:rsidP="00157F1C">
            <w:pPr>
              <w:spacing w:before="60" w:after="60"/>
              <w:jc w:val="center"/>
              <w:rPr>
                <w:szCs w:val="24"/>
              </w:rPr>
            </w:pPr>
            <w:r w:rsidRPr="00B27160">
              <w:rPr>
                <w:szCs w:val="24"/>
              </w:rPr>
              <w:t>1</w:t>
            </w:r>
            <w:r w:rsidR="00B27160" w:rsidRPr="00B27160">
              <w:rPr>
                <w:szCs w:val="24"/>
              </w:rPr>
              <w:t>5</w:t>
            </w:r>
            <w:r w:rsidRPr="00B27160">
              <w:rPr>
                <w:szCs w:val="24"/>
              </w:rPr>
              <w:t>.2</w:t>
            </w:r>
          </w:p>
        </w:tc>
      </w:tr>
      <w:tr w:rsidR="00AF5637" w:rsidRPr="008C6CED" w14:paraId="27C5E359" w14:textId="77777777" w:rsidTr="00F15285">
        <w:tc>
          <w:tcPr>
            <w:tcW w:w="2176" w:type="dxa"/>
            <w:vAlign w:val="center"/>
          </w:tcPr>
          <w:p w14:paraId="5A6A87D0" w14:textId="413F988F" w:rsidR="00AF5637" w:rsidRPr="00393A39" w:rsidRDefault="00AF5637" w:rsidP="00AF5637">
            <w:pPr>
              <w:spacing w:before="60" w:after="60"/>
              <w:jc w:val="center"/>
              <w:rPr>
                <w:szCs w:val="24"/>
              </w:rPr>
            </w:pPr>
            <w:r w:rsidRPr="00393A39">
              <w:rPr>
                <w:szCs w:val="24"/>
              </w:rPr>
              <w:lastRenderedPageBreak/>
              <w:t xml:space="preserve">On receipt of </w:t>
            </w:r>
            <w:r w:rsidR="008C10F6" w:rsidRPr="00393A39">
              <w:rPr>
                <w:szCs w:val="24"/>
              </w:rPr>
              <w:t xml:space="preserve">the </w:t>
            </w:r>
            <w:r w:rsidRPr="00393A39">
              <w:rPr>
                <w:szCs w:val="24"/>
              </w:rPr>
              <w:t>Annual Report</w:t>
            </w:r>
          </w:p>
        </w:tc>
        <w:tc>
          <w:tcPr>
            <w:tcW w:w="4935" w:type="dxa"/>
            <w:vAlign w:val="center"/>
          </w:tcPr>
          <w:p w14:paraId="43E9229C" w14:textId="5EFF1D08" w:rsidR="00AF5637" w:rsidRPr="00393A39" w:rsidRDefault="00AF5637" w:rsidP="008C10F6">
            <w:pPr>
              <w:spacing w:before="60" w:after="60"/>
              <w:jc w:val="center"/>
              <w:rPr>
                <w:szCs w:val="24"/>
              </w:rPr>
            </w:pPr>
            <w:r w:rsidRPr="00393A39">
              <w:rPr>
                <w:szCs w:val="24"/>
              </w:rPr>
              <w:t xml:space="preserve">Upon </w:t>
            </w:r>
            <w:r w:rsidR="00414C5D" w:rsidRPr="00393A39">
              <w:rPr>
                <w:szCs w:val="24"/>
              </w:rPr>
              <w:t>Class Counsel’s</w:t>
            </w:r>
            <w:r w:rsidRPr="00393A39">
              <w:rPr>
                <w:szCs w:val="24"/>
              </w:rPr>
              <w:t xml:space="preserve"> request, meet-and-confer with Defendant concerning the Annual Report</w:t>
            </w:r>
          </w:p>
        </w:tc>
        <w:tc>
          <w:tcPr>
            <w:tcW w:w="2239" w:type="dxa"/>
            <w:vAlign w:val="center"/>
          </w:tcPr>
          <w:p w14:paraId="61E1A00C" w14:textId="5B31A8C4" w:rsidR="00AF5637" w:rsidRPr="00393A39" w:rsidRDefault="00AF5637" w:rsidP="00AF5637">
            <w:pPr>
              <w:spacing w:before="60" w:after="60"/>
              <w:jc w:val="center"/>
              <w:rPr>
                <w:szCs w:val="24"/>
              </w:rPr>
            </w:pPr>
            <w:r w:rsidRPr="00393A39">
              <w:rPr>
                <w:szCs w:val="24"/>
              </w:rPr>
              <w:t>2</w:t>
            </w:r>
            <w:r w:rsidR="00393A39" w:rsidRPr="00393A39">
              <w:rPr>
                <w:szCs w:val="24"/>
              </w:rPr>
              <w:t>1</w:t>
            </w:r>
            <w:r w:rsidRPr="00393A39">
              <w:rPr>
                <w:szCs w:val="24"/>
              </w:rPr>
              <w:t>.2</w:t>
            </w:r>
          </w:p>
        </w:tc>
      </w:tr>
      <w:tr w:rsidR="00AF5637" w:rsidRPr="008C6CED" w14:paraId="1D96F519" w14:textId="77777777" w:rsidTr="00F15285">
        <w:tc>
          <w:tcPr>
            <w:tcW w:w="2176" w:type="dxa"/>
            <w:vAlign w:val="center"/>
          </w:tcPr>
          <w:p w14:paraId="44CC634A" w14:textId="04FDE96E" w:rsidR="00AF5637" w:rsidRPr="008C6CED" w:rsidRDefault="008C10F6" w:rsidP="00AF5637">
            <w:pPr>
              <w:spacing w:before="60" w:after="60"/>
              <w:jc w:val="center"/>
              <w:rPr>
                <w:szCs w:val="24"/>
                <w:highlight w:val="yellow"/>
              </w:rPr>
            </w:pPr>
            <w:r w:rsidRPr="008C7306">
              <w:rPr>
                <w:szCs w:val="24"/>
              </w:rPr>
              <w:t>On receipt of the Annual Report</w:t>
            </w:r>
          </w:p>
        </w:tc>
        <w:tc>
          <w:tcPr>
            <w:tcW w:w="4935" w:type="dxa"/>
            <w:vAlign w:val="center"/>
          </w:tcPr>
          <w:p w14:paraId="7009EC97" w14:textId="608E5C78" w:rsidR="00AF5637" w:rsidRPr="00143790" w:rsidRDefault="00AF5637" w:rsidP="008C10F6">
            <w:pPr>
              <w:spacing w:before="60" w:after="60"/>
              <w:jc w:val="center"/>
              <w:rPr>
                <w:szCs w:val="24"/>
              </w:rPr>
            </w:pPr>
            <w:r w:rsidRPr="00143790">
              <w:rPr>
                <w:szCs w:val="24"/>
              </w:rPr>
              <w:t>Review accessibility-</w:t>
            </w:r>
            <w:r w:rsidR="003364DE" w:rsidRPr="00143790">
              <w:rPr>
                <w:szCs w:val="24"/>
              </w:rPr>
              <w:t xml:space="preserve"> and Agreement-</w:t>
            </w:r>
            <w:r w:rsidRPr="00143790">
              <w:rPr>
                <w:szCs w:val="24"/>
              </w:rPr>
              <w:t xml:space="preserve">related </w:t>
            </w:r>
            <w:r w:rsidR="008C10F6" w:rsidRPr="00143790">
              <w:rPr>
                <w:szCs w:val="24"/>
              </w:rPr>
              <w:t xml:space="preserve">questions, comments, </w:t>
            </w:r>
            <w:r w:rsidRPr="00143790">
              <w:rPr>
                <w:szCs w:val="24"/>
              </w:rPr>
              <w:t>complaints</w:t>
            </w:r>
            <w:r w:rsidR="003364DE" w:rsidRPr="00143790">
              <w:rPr>
                <w:szCs w:val="24"/>
              </w:rPr>
              <w:t>, and concerns</w:t>
            </w:r>
            <w:r w:rsidRPr="00143790">
              <w:rPr>
                <w:szCs w:val="24"/>
              </w:rPr>
              <w:t xml:space="preserve"> </w:t>
            </w:r>
            <w:r w:rsidR="008C10F6" w:rsidRPr="00143790">
              <w:rPr>
                <w:szCs w:val="24"/>
              </w:rPr>
              <w:t>received by</w:t>
            </w:r>
            <w:r w:rsidRPr="00143790">
              <w:rPr>
                <w:szCs w:val="24"/>
              </w:rPr>
              <w:t xml:space="preserve"> Defendant</w:t>
            </w:r>
            <w:r w:rsidR="00143790" w:rsidRPr="00143790">
              <w:rPr>
                <w:szCs w:val="24"/>
              </w:rPr>
              <w:t>,</w:t>
            </w:r>
            <w:r w:rsidR="008C10F6" w:rsidRPr="00143790">
              <w:rPr>
                <w:szCs w:val="24"/>
              </w:rPr>
              <w:t xml:space="preserve"> </w:t>
            </w:r>
            <w:r w:rsidRPr="00143790">
              <w:rPr>
                <w:szCs w:val="24"/>
              </w:rPr>
              <w:t>and commence meet-and-confer process if necessary</w:t>
            </w:r>
          </w:p>
        </w:tc>
        <w:tc>
          <w:tcPr>
            <w:tcW w:w="2239" w:type="dxa"/>
            <w:vAlign w:val="center"/>
          </w:tcPr>
          <w:p w14:paraId="47C64D79" w14:textId="38252B61" w:rsidR="00AF5637" w:rsidRPr="00143790" w:rsidRDefault="00AF5637" w:rsidP="00AF5637">
            <w:pPr>
              <w:spacing w:before="60" w:after="60"/>
              <w:jc w:val="center"/>
              <w:rPr>
                <w:szCs w:val="24"/>
              </w:rPr>
            </w:pPr>
            <w:r w:rsidRPr="00143790">
              <w:rPr>
                <w:szCs w:val="24"/>
              </w:rPr>
              <w:t>1</w:t>
            </w:r>
            <w:r w:rsidR="00143790" w:rsidRPr="00143790">
              <w:rPr>
                <w:szCs w:val="24"/>
              </w:rPr>
              <w:t>3</w:t>
            </w:r>
            <w:r w:rsidRPr="00143790">
              <w:rPr>
                <w:szCs w:val="24"/>
              </w:rPr>
              <w:t>.</w:t>
            </w:r>
            <w:r w:rsidR="00143790" w:rsidRPr="00143790">
              <w:rPr>
                <w:szCs w:val="24"/>
              </w:rPr>
              <w:t>3</w:t>
            </w:r>
            <w:r w:rsidR="008C10F6" w:rsidRPr="00143790">
              <w:rPr>
                <w:szCs w:val="24"/>
              </w:rPr>
              <w:t>, 1</w:t>
            </w:r>
            <w:r w:rsidR="008C7306" w:rsidRPr="00143790">
              <w:rPr>
                <w:szCs w:val="24"/>
              </w:rPr>
              <w:t>7</w:t>
            </w:r>
            <w:r w:rsidR="008C10F6" w:rsidRPr="00143790">
              <w:rPr>
                <w:szCs w:val="24"/>
              </w:rPr>
              <w:t>.2</w:t>
            </w:r>
          </w:p>
        </w:tc>
      </w:tr>
      <w:tr w:rsidR="00AF5637" w:rsidRPr="008C6CED" w14:paraId="1902FD88" w14:textId="77777777" w:rsidTr="00F15285">
        <w:tc>
          <w:tcPr>
            <w:tcW w:w="2176" w:type="dxa"/>
            <w:vAlign w:val="center"/>
          </w:tcPr>
          <w:p w14:paraId="5C8A4E60" w14:textId="17AD5B7F" w:rsidR="00AF5637" w:rsidRPr="00F45736" w:rsidRDefault="00AF5637" w:rsidP="00AF5637">
            <w:pPr>
              <w:spacing w:before="60" w:after="60"/>
              <w:jc w:val="center"/>
              <w:rPr>
                <w:szCs w:val="24"/>
              </w:rPr>
            </w:pPr>
            <w:r w:rsidRPr="00F45736">
              <w:rPr>
                <w:szCs w:val="24"/>
              </w:rPr>
              <w:t>Ongoing during the Agreement Term</w:t>
            </w:r>
          </w:p>
        </w:tc>
        <w:tc>
          <w:tcPr>
            <w:tcW w:w="4935" w:type="dxa"/>
            <w:vAlign w:val="center"/>
          </w:tcPr>
          <w:p w14:paraId="40EDB242" w14:textId="3829899E" w:rsidR="00AF5637" w:rsidRPr="00F45736" w:rsidRDefault="00AF5637" w:rsidP="008C10F6">
            <w:pPr>
              <w:spacing w:before="60" w:after="60"/>
              <w:jc w:val="center"/>
              <w:rPr>
                <w:szCs w:val="24"/>
              </w:rPr>
            </w:pPr>
            <w:r w:rsidRPr="00F45736">
              <w:rPr>
                <w:szCs w:val="24"/>
              </w:rPr>
              <w:t xml:space="preserve">Test the Digital Properties to evaluate Defendant’s compliance with </w:t>
            </w:r>
            <w:r w:rsidR="00BC4450" w:rsidRPr="00F45736">
              <w:rPr>
                <w:szCs w:val="24"/>
              </w:rPr>
              <w:t xml:space="preserve">the </w:t>
            </w:r>
            <w:r w:rsidRPr="00F45736">
              <w:rPr>
                <w:szCs w:val="24"/>
              </w:rPr>
              <w:t>Agreement</w:t>
            </w:r>
          </w:p>
        </w:tc>
        <w:tc>
          <w:tcPr>
            <w:tcW w:w="2239" w:type="dxa"/>
            <w:vAlign w:val="center"/>
          </w:tcPr>
          <w:p w14:paraId="79DC71B4" w14:textId="178A39F8" w:rsidR="00AF5637" w:rsidRPr="00F45736" w:rsidRDefault="00F15285" w:rsidP="00AF5637">
            <w:pPr>
              <w:spacing w:before="60" w:after="60"/>
              <w:jc w:val="center"/>
              <w:rPr>
                <w:szCs w:val="24"/>
              </w:rPr>
            </w:pPr>
            <w:r w:rsidRPr="00F45736">
              <w:rPr>
                <w:szCs w:val="24"/>
              </w:rPr>
              <w:t>1</w:t>
            </w:r>
            <w:r w:rsidR="00F45736" w:rsidRPr="00F45736">
              <w:rPr>
                <w:szCs w:val="24"/>
              </w:rPr>
              <w:t>7</w:t>
            </w:r>
            <w:r w:rsidRPr="00F45736">
              <w:rPr>
                <w:szCs w:val="24"/>
              </w:rPr>
              <w:t>.</w:t>
            </w:r>
            <w:r w:rsidR="00AF5637" w:rsidRPr="00F45736">
              <w:rPr>
                <w:szCs w:val="24"/>
              </w:rPr>
              <w:t>1</w:t>
            </w:r>
          </w:p>
        </w:tc>
      </w:tr>
      <w:tr w:rsidR="00C91F0B" w:rsidRPr="008C6CED" w14:paraId="649C7EEA" w14:textId="77777777" w:rsidTr="00F15285">
        <w:tc>
          <w:tcPr>
            <w:tcW w:w="2176" w:type="dxa"/>
            <w:vAlign w:val="center"/>
          </w:tcPr>
          <w:p w14:paraId="52D3CFF5" w14:textId="7C76318D" w:rsidR="00C91F0B" w:rsidRPr="00E92308" w:rsidRDefault="00C91F0B" w:rsidP="00AF5637">
            <w:pPr>
              <w:spacing w:before="60" w:after="60"/>
              <w:jc w:val="center"/>
              <w:rPr>
                <w:szCs w:val="24"/>
              </w:rPr>
            </w:pPr>
            <w:r w:rsidRPr="00E92308">
              <w:rPr>
                <w:szCs w:val="24"/>
              </w:rPr>
              <w:t>Ongoing during the Agreement Term</w:t>
            </w:r>
          </w:p>
        </w:tc>
        <w:tc>
          <w:tcPr>
            <w:tcW w:w="4935" w:type="dxa"/>
            <w:vAlign w:val="center"/>
          </w:tcPr>
          <w:p w14:paraId="22DDDB86" w14:textId="72BCBB77" w:rsidR="00C91F0B" w:rsidRPr="00E92308" w:rsidRDefault="00C91F0B" w:rsidP="008C10F6">
            <w:pPr>
              <w:spacing w:before="60" w:after="60"/>
              <w:jc w:val="center"/>
              <w:rPr>
                <w:szCs w:val="24"/>
              </w:rPr>
            </w:pPr>
            <w:r w:rsidRPr="00E92308">
              <w:rPr>
                <w:szCs w:val="24"/>
              </w:rPr>
              <w:t>Notify Defendant if a Settlement Class Member contacts Class Counsel about a dispute concerning the Agreement</w:t>
            </w:r>
          </w:p>
        </w:tc>
        <w:tc>
          <w:tcPr>
            <w:tcW w:w="2239" w:type="dxa"/>
            <w:vAlign w:val="center"/>
          </w:tcPr>
          <w:p w14:paraId="343B5E46" w14:textId="1F3639A0" w:rsidR="00C91F0B" w:rsidRPr="00E92308" w:rsidRDefault="00C91F0B" w:rsidP="00AF5637">
            <w:pPr>
              <w:spacing w:before="60" w:after="60"/>
              <w:jc w:val="center"/>
              <w:rPr>
                <w:szCs w:val="24"/>
              </w:rPr>
            </w:pPr>
            <w:r w:rsidRPr="00E92308">
              <w:rPr>
                <w:szCs w:val="24"/>
              </w:rPr>
              <w:t>2</w:t>
            </w:r>
            <w:r w:rsidR="00E92308" w:rsidRPr="00E92308">
              <w:rPr>
                <w:szCs w:val="24"/>
              </w:rPr>
              <w:t>2</w:t>
            </w:r>
            <w:r w:rsidRPr="00E92308">
              <w:rPr>
                <w:szCs w:val="24"/>
              </w:rPr>
              <w:t>.1.2</w:t>
            </w:r>
          </w:p>
        </w:tc>
      </w:tr>
      <w:tr w:rsidR="00C91F0B" w:rsidRPr="008C6CED" w14:paraId="43F2BCBC" w14:textId="77777777" w:rsidTr="00F15285">
        <w:tc>
          <w:tcPr>
            <w:tcW w:w="2176" w:type="dxa"/>
            <w:vAlign w:val="center"/>
          </w:tcPr>
          <w:p w14:paraId="53DA220B" w14:textId="2A7A03A1" w:rsidR="00C91F0B" w:rsidRPr="00B90B0C" w:rsidRDefault="00C91F0B" w:rsidP="00AF5637">
            <w:pPr>
              <w:spacing w:before="60" w:after="60"/>
              <w:jc w:val="center"/>
              <w:rPr>
                <w:szCs w:val="24"/>
              </w:rPr>
            </w:pPr>
            <w:r w:rsidRPr="00B90B0C">
              <w:rPr>
                <w:szCs w:val="24"/>
              </w:rPr>
              <w:t>Ongoing during the Agreement Term</w:t>
            </w:r>
          </w:p>
        </w:tc>
        <w:tc>
          <w:tcPr>
            <w:tcW w:w="4935" w:type="dxa"/>
            <w:vAlign w:val="center"/>
          </w:tcPr>
          <w:p w14:paraId="7258CFB8" w14:textId="5846A36C" w:rsidR="00C91F0B" w:rsidRPr="00B90B0C" w:rsidRDefault="00C91F0B" w:rsidP="008C10F6">
            <w:pPr>
              <w:spacing w:before="60" w:after="60"/>
              <w:jc w:val="center"/>
              <w:rPr>
                <w:szCs w:val="24"/>
              </w:rPr>
            </w:pPr>
            <w:r w:rsidRPr="00B90B0C">
              <w:rPr>
                <w:szCs w:val="24"/>
              </w:rPr>
              <w:t>Meet-and-confer with Defendant concerning a Settlement Class Member’s dispute concerning the Agreement</w:t>
            </w:r>
          </w:p>
        </w:tc>
        <w:tc>
          <w:tcPr>
            <w:tcW w:w="2239" w:type="dxa"/>
            <w:vAlign w:val="center"/>
          </w:tcPr>
          <w:p w14:paraId="5425A9DF" w14:textId="42C63671" w:rsidR="00C91F0B" w:rsidRPr="00B90B0C" w:rsidRDefault="00C91F0B" w:rsidP="00AF5637">
            <w:pPr>
              <w:spacing w:before="60" w:after="60"/>
              <w:jc w:val="center"/>
              <w:rPr>
                <w:szCs w:val="24"/>
              </w:rPr>
            </w:pPr>
            <w:r w:rsidRPr="00B90B0C">
              <w:rPr>
                <w:szCs w:val="24"/>
              </w:rPr>
              <w:t>2</w:t>
            </w:r>
            <w:r w:rsidR="00B90B0C" w:rsidRPr="00B90B0C">
              <w:rPr>
                <w:szCs w:val="24"/>
              </w:rPr>
              <w:t>2</w:t>
            </w:r>
            <w:r w:rsidRPr="00B90B0C">
              <w:rPr>
                <w:szCs w:val="24"/>
              </w:rPr>
              <w:t>.1.4</w:t>
            </w:r>
          </w:p>
        </w:tc>
      </w:tr>
      <w:tr w:rsidR="00C91F0B" w:rsidRPr="008C6CED" w14:paraId="51CFC66D" w14:textId="77777777" w:rsidTr="00F15285">
        <w:tc>
          <w:tcPr>
            <w:tcW w:w="2176" w:type="dxa"/>
            <w:vAlign w:val="center"/>
          </w:tcPr>
          <w:p w14:paraId="50E104CA" w14:textId="42B432E8" w:rsidR="00C91F0B" w:rsidRPr="00F61733" w:rsidRDefault="00C91F0B" w:rsidP="00AF5637">
            <w:pPr>
              <w:spacing w:before="60" w:after="60"/>
              <w:jc w:val="center"/>
              <w:rPr>
                <w:szCs w:val="24"/>
              </w:rPr>
            </w:pPr>
            <w:r w:rsidRPr="00F61733">
              <w:rPr>
                <w:szCs w:val="24"/>
              </w:rPr>
              <w:t>Ongoing during the Agreement Term</w:t>
            </w:r>
          </w:p>
        </w:tc>
        <w:tc>
          <w:tcPr>
            <w:tcW w:w="4935" w:type="dxa"/>
            <w:vAlign w:val="center"/>
          </w:tcPr>
          <w:p w14:paraId="6381940B" w14:textId="0BBB5120" w:rsidR="00C91F0B" w:rsidRPr="00F61733" w:rsidRDefault="00C91F0B" w:rsidP="008C10F6">
            <w:pPr>
              <w:spacing w:before="60" w:after="60"/>
              <w:jc w:val="center"/>
              <w:rPr>
                <w:szCs w:val="24"/>
              </w:rPr>
            </w:pPr>
            <w:r w:rsidRPr="00F61733">
              <w:rPr>
                <w:szCs w:val="24"/>
              </w:rPr>
              <w:t>Submit a Settlement Class Member’s dispute concerning the Agreement to mediation, if the meet-and-confer process fails</w:t>
            </w:r>
          </w:p>
        </w:tc>
        <w:tc>
          <w:tcPr>
            <w:tcW w:w="2239" w:type="dxa"/>
            <w:vAlign w:val="center"/>
          </w:tcPr>
          <w:p w14:paraId="7D1961F4" w14:textId="6BAB2777" w:rsidR="00C91F0B" w:rsidRPr="00F61733" w:rsidRDefault="00C91F0B" w:rsidP="00AF5637">
            <w:pPr>
              <w:spacing w:before="60" w:after="60"/>
              <w:jc w:val="center"/>
              <w:rPr>
                <w:szCs w:val="24"/>
              </w:rPr>
            </w:pPr>
            <w:r w:rsidRPr="00F61733">
              <w:rPr>
                <w:szCs w:val="24"/>
              </w:rPr>
              <w:t>2</w:t>
            </w:r>
            <w:r w:rsidR="00B90B0C" w:rsidRPr="00F61733">
              <w:rPr>
                <w:szCs w:val="24"/>
              </w:rPr>
              <w:t>2</w:t>
            </w:r>
            <w:r w:rsidRPr="00F61733">
              <w:rPr>
                <w:szCs w:val="24"/>
              </w:rPr>
              <w:t>.2.1</w:t>
            </w:r>
          </w:p>
        </w:tc>
      </w:tr>
      <w:tr w:rsidR="00C91F0B" w:rsidRPr="008C6CED" w14:paraId="233E7602" w14:textId="77777777" w:rsidTr="00F15285">
        <w:tc>
          <w:tcPr>
            <w:tcW w:w="2176" w:type="dxa"/>
            <w:vAlign w:val="center"/>
          </w:tcPr>
          <w:p w14:paraId="51BC0E49" w14:textId="097CB6A3" w:rsidR="00C91F0B" w:rsidRPr="00D73844" w:rsidRDefault="00C91F0B" w:rsidP="00AF5637">
            <w:pPr>
              <w:spacing w:before="60" w:after="60"/>
              <w:jc w:val="center"/>
              <w:rPr>
                <w:szCs w:val="24"/>
              </w:rPr>
            </w:pPr>
            <w:r w:rsidRPr="00D73844">
              <w:rPr>
                <w:szCs w:val="24"/>
              </w:rPr>
              <w:t>Ongoing during the Agreement Term</w:t>
            </w:r>
          </w:p>
        </w:tc>
        <w:tc>
          <w:tcPr>
            <w:tcW w:w="4935" w:type="dxa"/>
            <w:vAlign w:val="center"/>
          </w:tcPr>
          <w:p w14:paraId="367CEED2" w14:textId="352B14F4" w:rsidR="00C91F0B" w:rsidRPr="00D73844" w:rsidRDefault="00C91F0B" w:rsidP="008C10F6">
            <w:pPr>
              <w:spacing w:before="60" w:after="60"/>
              <w:jc w:val="center"/>
              <w:rPr>
                <w:szCs w:val="24"/>
              </w:rPr>
            </w:pPr>
            <w:r w:rsidRPr="00D73844">
              <w:rPr>
                <w:szCs w:val="24"/>
              </w:rPr>
              <w:t xml:space="preserve">Submit a Settlement Class Member’s dispute concerning the Agreement to the </w:t>
            </w:r>
            <w:r w:rsidR="00D73844" w:rsidRPr="00D73844">
              <w:rPr>
                <w:szCs w:val="24"/>
              </w:rPr>
              <w:t>C</w:t>
            </w:r>
            <w:r w:rsidRPr="00D73844">
              <w:rPr>
                <w:szCs w:val="24"/>
              </w:rPr>
              <w:t>ourt, if the meet-and-confer process and mediation fails</w:t>
            </w:r>
          </w:p>
        </w:tc>
        <w:tc>
          <w:tcPr>
            <w:tcW w:w="2239" w:type="dxa"/>
            <w:vAlign w:val="center"/>
          </w:tcPr>
          <w:p w14:paraId="71E2C222" w14:textId="076630B6" w:rsidR="00C91F0B" w:rsidRPr="00D73844" w:rsidRDefault="00C91F0B" w:rsidP="00AF5637">
            <w:pPr>
              <w:spacing w:before="60" w:after="60"/>
              <w:jc w:val="center"/>
              <w:rPr>
                <w:szCs w:val="24"/>
              </w:rPr>
            </w:pPr>
            <w:r w:rsidRPr="00D73844">
              <w:rPr>
                <w:szCs w:val="24"/>
              </w:rPr>
              <w:t>2</w:t>
            </w:r>
            <w:r w:rsidR="00B90B0C" w:rsidRPr="00D73844">
              <w:rPr>
                <w:szCs w:val="24"/>
              </w:rPr>
              <w:t>2</w:t>
            </w:r>
            <w:r w:rsidRPr="00D73844">
              <w:rPr>
                <w:szCs w:val="24"/>
              </w:rPr>
              <w:t>.3.1</w:t>
            </w:r>
          </w:p>
        </w:tc>
      </w:tr>
    </w:tbl>
    <w:p w14:paraId="0EE048F4" w14:textId="67F7A080" w:rsidR="00F37DA0" w:rsidRPr="00872588" w:rsidRDefault="00F37DA0" w:rsidP="00B3601D">
      <w:pPr>
        <w:spacing w:before="240" w:line="480" w:lineRule="auto"/>
        <w:ind w:firstLine="720"/>
        <w:jc w:val="both"/>
        <w:rPr>
          <w:szCs w:val="24"/>
        </w:rPr>
      </w:pPr>
      <w:r w:rsidRPr="00872588">
        <w:rPr>
          <w:szCs w:val="24"/>
        </w:rPr>
        <w:t xml:space="preserve">The Agreement </w:t>
      </w:r>
      <w:r w:rsidR="007C2398" w:rsidRPr="00872588">
        <w:rPr>
          <w:szCs w:val="24"/>
        </w:rPr>
        <w:t xml:space="preserve">also </w:t>
      </w:r>
      <w:r w:rsidRPr="00872588">
        <w:rPr>
          <w:szCs w:val="24"/>
        </w:rPr>
        <w:t xml:space="preserve">includes </w:t>
      </w:r>
      <w:r w:rsidR="002A3C58" w:rsidRPr="00872588">
        <w:rPr>
          <w:szCs w:val="24"/>
        </w:rPr>
        <w:t xml:space="preserve">many </w:t>
      </w:r>
      <w:r w:rsidRPr="00872588">
        <w:rPr>
          <w:szCs w:val="24"/>
        </w:rPr>
        <w:t>deadlines during the Agreement Term</w:t>
      </w:r>
      <w:r w:rsidR="009C0AEB" w:rsidRPr="00872588">
        <w:rPr>
          <w:szCs w:val="24"/>
        </w:rPr>
        <w:t xml:space="preserve"> </w:t>
      </w:r>
      <w:r w:rsidRPr="00872588">
        <w:rPr>
          <w:szCs w:val="24"/>
        </w:rPr>
        <w:t xml:space="preserve">by which Class Counsel </w:t>
      </w:r>
      <w:r w:rsidR="004839A0" w:rsidRPr="00872588">
        <w:rPr>
          <w:szCs w:val="24"/>
        </w:rPr>
        <w:t>must</w:t>
      </w:r>
      <w:r w:rsidRPr="00872588">
        <w:rPr>
          <w:szCs w:val="24"/>
        </w:rPr>
        <w:t xml:space="preserve"> complete various tasks, other obligations that occur annually, and </w:t>
      </w:r>
      <w:r w:rsidR="002A3C58" w:rsidRPr="00872588">
        <w:rPr>
          <w:szCs w:val="24"/>
        </w:rPr>
        <w:t>potentially</w:t>
      </w:r>
      <w:r w:rsidR="00BE35F8" w:rsidRPr="00872588">
        <w:rPr>
          <w:szCs w:val="24"/>
        </w:rPr>
        <w:t xml:space="preserve"> unlimited representation of </w:t>
      </w:r>
      <w:r w:rsidR="00C05AC4" w:rsidRPr="00872588">
        <w:rPr>
          <w:szCs w:val="24"/>
        </w:rPr>
        <w:t xml:space="preserve">Settlement </w:t>
      </w:r>
      <w:r w:rsidR="00BE35F8" w:rsidRPr="00872588">
        <w:rPr>
          <w:szCs w:val="24"/>
        </w:rPr>
        <w:t xml:space="preserve">Class Members </w:t>
      </w:r>
      <w:r w:rsidR="002A3C58" w:rsidRPr="00872588">
        <w:rPr>
          <w:szCs w:val="24"/>
        </w:rPr>
        <w:t>during</w:t>
      </w:r>
      <w:r w:rsidR="000E5D8F" w:rsidRPr="00872588">
        <w:rPr>
          <w:szCs w:val="24"/>
        </w:rPr>
        <w:t xml:space="preserve"> </w:t>
      </w:r>
      <w:r w:rsidR="00BE35F8" w:rsidRPr="00872588">
        <w:rPr>
          <w:szCs w:val="24"/>
        </w:rPr>
        <w:t>the</w:t>
      </w:r>
      <w:r w:rsidR="00897D67" w:rsidRPr="00872588">
        <w:rPr>
          <w:szCs w:val="24"/>
        </w:rPr>
        <w:t xml:space="preserve"> </w:t>
      </w:r>
      <w:r w:rsidR="00AF08CB" w:rsidRPr="00872588">
        <w:rPr>
          <w:szCs w:val="24"/>
        </w:rPr>
        <w:t>Agreement T</w:t>
      </w:r>
      <w:r w:rsidR="00897D67" w:rsidRPr="00872588">
        <w:rPr>
          <w:szCs w:val="24"/>
        </w:rPr>
        <w:t>erm</w:t>
      </w:r>
      <w:r w:rsidR="000E5D8F" w:rsidRPr="00872588">
        <w:rPr>
          <w:szCs w:val="24"/>
        </w:rPr>
        <w:t>, including during informal meet-and-confers with defense counsel, at mediation, and before the Court.</w:t>
      </w:r>
    </w:p>
    <w:p w14:paraId="7DE75065" w14:textId="478C4731" w:rsidR="00552C27" w:rsidRPr="009A471B" w:rsidRDefault="000D588A" w:rsidP="00E458A2">
      <w:pPr>
        <w:pStyle w:val="ListParagraph"/>
        <w:keepNext/>
        <w:numPr>
          <w:ilvl w:val="0"/>
          <w:numId w:val="9"/>
        </w:numPr>
        <w:spacing w:after="240"/>
        <w:ind w:left="1440" w:right="720" w:hanging="720"/>
        <w:contextualSpacing w:val="0"/>
        <w:rPr>
          <w:b/>
          <w:bCs/>
          <w:szCs w:val="24"/>
        </w:rPr>
      </w:pPr>
      <w:r w:rsidRPr="009A471B">
        <w:rPr>
          <w:b/>
          <w:bCs/>
          <w:szCs w:val="24"/>
        </w:rPr>
        <w:t xml:space="preserve">The </w:t>
      </w:r>
      <w:r w:rsidRPr="009A471B">
        <w:rPr>
          <w:b/>
          <w:bCs/>
          <w:i/>
          <w:iCs/>
          <w:szCs w:val="24"/>
        </w:rPr>
        <w:t>Johnson</w:t>
      </w:r>
      <w:r w:rsidRPr="009A471B">
        <w:rPr>
          <w:b/>
          <w:bCs/>
          <w:szCs w:val="24"/>
        </w:rPr>
        <w:t xml:space="preserve"> Factors Support Plaintiff’s Request For Fees</w:t>
      </w:r>
    </w:p>
    <w:p w14:paraId="3F97357D" w14:textId="5E20BD27" w:rsidR="00061F3E" w:rsidRPr="00AF3BA7" w:rsidRDefault="00144BF6" w:rsidP="00061F3E">
      <w:pPr>
        <w:spacing w:before="240" w:line="480" w:lineRule="auto"/>
        <w:ind w:firstLine="720"/>
        <w:jc w:val="both"/>
        <w:rPr>
          <w:szCs w:val="24"/>
        </w:rPr>
      </w:pPr>
      <w:r w:rsidRPr="00AF3BA7">
        <w:rPr>
          <w:szCs w:val="24"/>
        </w:rPr>
        <w:t xml:space="preserve">“After a district court determines the lodestar, its discretion comes into play and it can adjust the fee for a variety of reasons.” </w:t>
      </w:r>
      <w:r w:rsidRPr="00AF3BA7">
        <w:rPr>
          <w:i/>
          <w:iCs/>
          <w:szCs w:val="24"/>
        </w:rPr>
        <w:t>Pub. Interest Research Grp.</w:t>
      </w:r>
      <w:r w:rsidR="00EF076F" w:rsidRPr="00AF3BA7">
        <w:rPr>
          <w:i/>
          <w:iCs/>
          <w:szCs w:val="24"/>
        </w:rPr>
        <w:t xml:space="preserve"> of N.J., Inc.</w:t>
      </w:r>
      <w:r w:rsidRPr="00AF3BA7">
        <w:rPr>
          <w:i/>
          <w:iCs/>
          <w:szCs w:val="24"/>
        </w:rPr>
        <w:t xml:space="preserve"> v. Windall</w:t>
      </w:r>
      <w:r w:rsidRPr="00AF3BA7">
        <w:rPr>
          <w:szCs w:val="24"/>
        </w:rPr>
        <w:t>, 51 F.3d 1179, 1185 (3d Cir. 1995)</w:t>
      </w:r>
      <w:r w:rsidR="00284384" w:rsidRPr="00AF3BA7">
        <w:rPr>
          <w:szCs w:val="24"/>
        </w:rPr>
        <w:fldChar w:fldCharType="begin"/>
      </w:r>
      <w:r w:rsidR="00284384" w:rsidRPr="00AF3BA7">
        <w:rPr>
          <w:szCs w:val="24"/>
        </w:rPr>
        <w:instrText xml:space="preserve"> TA \l "</w:instrText>
      </w:r>
      <w:r w:rsidR="00284384" w:rsidRPr="00AF3BA7">
        <w:rPr>
          <w:i/>
          <w:iCs/>
          <w:szCs w:val="24"/>
        </w:rPr>
        <w:instrText>Pub. Interest Research Grp. v. Windall</w:instrText>
      </w:r>
      <w:r w:rsidR="00284384" w:rsidRPr="00AF3BA7">
        <w:rPr>
          <w:i/>
          <w:iCs/>
          <w:szCs w:val="24"/>
        </w:rPr>
        <w:br/>
      </w:r>
      <w:r w:rsidR="00284384" w:rsidRPr="00AF3BA7">
        <w:rPr>
          <w:szCs w:val="24"/>
        </w:rPr>
        <w:instrText xml:space="preserve">51 F.3d 1179 (3d Cir. 1995)" \s "Pub. Interest Research Grp. v. Windall, 51 F.3d 1179, 1185 (3d Cir. 1995)" \c 1 </w:instrText>
      </w:r>
      <w:r w:rsidR="00284384" w:rsidRPr="00AF3BA7">
        <w:rPr>
          <w:szCs w:val="24"/>
        </w:rPr>
        <w:fldChar w:fldCharType="end"/>
      </w:r>
      <w:r w:rsidRPr="00AF3BA7">
        <w:rPr>
          <w:szCs w:val="24"/>
        </w:rPr>
        <w:t xml:space="preserve">. </w:t>
      </w:r>
      <w:r w:rsidR="00A00F70" w:rsidRPr="00AF3BA7">
        <w:rPr>
          <w:szCs w:val="24"/>
        </w:rPr>
        <w:t>Factors commonly considered in determining whether to adjust the lodestar</w:t>
      </w:r>
      <w:r w:rsidRPr="00AF3BA7">
        <w:rPr>
          <w:szCs w:val="24"/>
        </w:rPr>
        <w:t xml:space="preserve"> include:</w:t>
      </w:r>
    </w:p>
    <w:p w14:paraId="1BAECAEA" w14:textId="1E94A9F1" w:rsidR="00061F3E" w:rsidRPr="00AF3BA7" w:rsidRDefault="00144BF6" w:rsidP="00061F3E">
      <w:pPr>
        <w:ind w:left="720" w:right="720"/>
        <w:jc w:val="both"/>
        <w:rPr>
          <w:szCs w:val="24"/>
        </w:rPr>
      </w:pPr>
      <w:r w:rsidRPr="00AF3BA7">
        <w:rPr>
          <w:szCs w:val="24"/>
        </w:rPr>
        <w:t xml:space="preserve">(1) the time and labor required; (2) the novelty and difficulty of the questions; (3) the skill required to perform the legal service properly; (4) the preclusion of alternative employment; (5) the customary fee for similar work; (6) the nature of the fee payment arrangement; (7) time limitations imposed by the client or </w:t>
      </w:r>
      <w:r w:rsidRPr="00AF3BA7">
        <w:rPr>
          <w:szCs w:val="24"/>
        </w:rPr>
        <w:lastRenderedPageBreak/>
        <w:t xml:space="preserve">circumstances; (8) the amount involved and results obtained; (9) the experience, reputation and ability of the attorneys; (10) the </w:t>
      </w:r>
      <w:r w:rsidR="006B1087" w:rsidRPr="00AF3BA7">
        <w:rPr>
          <w:szCs w:val="24"/>
        </w:rPr>
        <w:t>“</w:t>
      </w:r>
      <w:r w:rsidRPr="00AF3BA7">
        <w:rPr>
          <w:szCs w:val="24"/>
        </w:rPr>
        <w:t>undesirability</w:t>
      </w:r>
      <w:r w:rsidR="006B1087" w:rsidRPr="00AF3BA7">
        <w:rPr>
          <w:szCs w:val="24"/>
        </w:rPr>
        <w:t>”</w:t>
      </w:r>
      <w:r w:rsidRPr="00AF3BA7">
        <w:rPr>
          <w:szCs w:val="24"/>
        </w:rPr>
        <w:t xml:space="preserve"> of the case; (11) the nature and length of the attorney-client relationship; and (12) fee awards in similar cases.</w:t>
      </w:r>
    </w:p>
    <w:p w14:paraId="201B912B" w14:textId="7B121966" w:rsidR="004A66A0" w:rsidRPr="00690795" w:rsidRDefault="00144BF6" w:rsidP="00061F3E">
      <w:pPr>
        <w:spacing w:before="240" w:line="480" w:lineRule="auto"/>
        <w:jc w:val="both"/>
        <w:rPr>
          <w:szCs w:val="24"/>
        </w:rPr>
      </w:pPr>
      <w:r w:rsidRPr="00AF3BA7">
        <w:rPr>
          <w:i/>
          <w:iCs/>
          <w:szCs w:val="24"/>
        </w:rPr>
        <w:t>Id</w:t>
      </w:r>
      <w:r w:rsidRPr="00AF3BA7">
        <w:rPr>
          <w:szCs w:val="24"/>
        </w:rPr>
        <w:t>. at</w:t>
      </w:r>
      <w:r w:rsidR="004E5F04" w:rsidRPr="00AF3BA7">
        <w:rPr>
          <w:szCs w:val="24"/>
        </w:rPr>
        <w:t xml:space="preserve"> 1185 n.8</w:t>
      </w:r>
      <w:r w:rsidRPr="00AF3BA7">
        <w:rPr>
          <w:szCs w:val="24"/>
        </w:rPr>
        <w:t>.</w:t>
      </w:r>
      <w:r w:rsidR="006E28EC" w:rsidRPr="00AF3BA7">
        <w:rPr>
          <w:rStyle w:val="FootnoteReference"/>
          <w:szCs w:val="24"/>
        </w:rPr>
        <w:footnoteReference w:id="5"/>
      </w:r>
      <w:r w:rsidRPr="00AF3BA7">
        <w:rPr>
          <w:szCs w:val="24"/>
        </w:rPr>
        <w:t xml:space="preserve"> </w:t>
      </w:r>
      <w:r w:rsidR="0010674D" w:rsidRPr="00AF3BA7">
        <w:rPr>
          <w:szCs w:val="24"/>
        </w:rPr>
        <w:t>These</w:t>
      </w:r>
      <w:r w:rsidRPr="00690795">
        <w:rPr>
          <w:i/>
          <w:iCs/>
          <w:szCs w:val="24"/>
        </w:rPr>
        <w:t xml:space="preserve"> </w:t>
      </w:r>
      <w:r w:rsidRPr="00690795">
        <w:rPr>
          <w:szCs w:val="24"/>
        </w:rPr>
        <w:t xml:space="preserve">factors </w:t>
      </w:r>
      <w:r w:rsidR="004E5F04" w:rsidRPr="00690795">
        <w:rPr>
          <w:szCs w:val="24"/>
        </w:rPr>
        <w:t xml:space="preserve">confirm </w:t>
      </w:r>
      <w:r w:rsidR="003037AE" w:rsidRPr="00690795">
        <w:rPr>
          <w:szCs w:val="24"/>
        </w:rPr>
        <w:t>Plaintiff’s request for</w:t>
      </w:r>
      <w:r w:rsidR="00061F3E" w:rsidRPr="00690795">
        <w:rPr>
          <w:szCs w:val="24"/>
        </w:rPr>
        <w:t xml:space="preserve"> </w:t>
      </w:r>
      <w:r w:rsidR="008B74F2" w:rsidRPr="00690795">
        <w:rPr>
          <w:szCs w:val="24"/>
        </w:rPr>
        <w:t>$</w:t>
      </w:r>
      <w:r w:rsidR="009A3C1C" w:rsidRPr="00690795">
        <w:rPr>
          <w:szCs w:val="24"/>
        </w:rPr>
        <w:t>73</w:t>
      </w:r>
      <w:r w:rsidR="008B74F2" w:rsidRPr="00690795">
        <w:rPr>
          <w:szCs w:val="24"/>
        </w:rPr>
        <w:t>,</w:t>
      </w:r>
      <w:r w:rsidR="009A3C1C" w:rsidRPr="00690795">
        <w:rPr>
          <w:szCs w:val="24"/>
        </w:rPr>
        <w:t>5</w:t>
      </w:r>
      <w:r w:rsidR="008B74F2" w:rsidRPr="00690795">
        <w:rPr>
          <w:szCs w:val="24"/>
        </w:rPr>
        <w:t>00</w:t>
      </w:r>
      <w:r w:rsidR="00EF076F" w:rsidRPr="00690795">
        <w:rPr>
          <w:szCs w:val="24"/>
        </w:rPr>
        <w:t>.00</w:t>
      </w:r>
      <w:r w:rsidR="008B74F2" w:rsidRPr="00690795">
        <w:rPr>
          <w:szCs w:val="24"/>
        </w:rPr>
        <w:t xml:space="preserve"> in</w:t>
      </w:r>
      <w:r w:rsidR="004E5F04" w:rsidRPr="00690795">
        <w:rPr>
          <w:szCs w:val="24"/>
        </w:rPr>
        <w:t xml:space="preserve"> </w:t>
      </w:r>
      <w:r w:rsidR="003037AE" w:rsidRPr="00690795">
        <w:rPr>
          <w:szCs w:val="24"/>
        </w:rPr>
        <w:t xml:space="preserve">attorneys’ </w:t>
      </w:r>
      <w:r w:rsidR="004E5F04" w:rsidRPr="00690795">
        <w:rPr>
          <w:szCs w:val="24"/>
        </w:rPr>
        <w:t xml:space="preserve">fees, </w:t>
      </w:r>
      <w:r w:rsidR="008B74F2" w:rsidRPr="00690795">
        <w:rPr>
          <w:szCs w:val="24"/>
        </w:rPr>
        <w:t xml:space="preserve">which is </w:t>
      </w:r>
      <w:r w:rsidR="003916CF">
        <w:rPr>
          <w:szCs w:val="24"/>
        </w:rPr>
        <w:t>83.97</w:t>
      </w:r>
      <w:r w:rsidR="008B74F2" w:rsidRPr="00690795">
        <w:rPr>
          <w:szCs w:val="24"/>
        </w:rPr>
        <w:t>% of Class Counsel’s aggregate lodestar</w:t>
      </w:r>
      <w:r w:rsidR="007C2398" w:rsidRPr="00690795">
        <w:rPr>
          <w:szCs w:val="24"/>
        </w:rPr>
        <w:t xml:space="preserve"> to date</w:t>
      </w:r>
      <w:r w:rsidR="004E5F04" w:rsidRPr="00690795">
        <w:rPr>
          <w:szCs w:val="24"/>
        </w:rPr>
        <w:t>, is reasonable</w:t>
      </w:r>
      <w:r w:rsidR="00897D67" w:rsidRPr="00690795">
        <w:rPr>
          <w:szCs w:val="24"/>
        </w:rPr>
        <w:t xml:space="preserve"> and should be approved</w:t>
      </w:r>
      <w:r w:rsidR="004E5F04" w:rsidRPr="00690795">
        <w:rPr>
          <w:szCs w:val="24"/>
        </w:rPr>
        <w:t>.</w:t>
      </w:r>
    </w:p>
    <w:p w14:paraId="1FCD36EB" w14:textId="68AD2694" w:rsidR="004E5F04" w:rsidRPr="003A5133" w:rsidRDefault="004E5F04" w:rsidP="00E458A2">
      <w:pPr>
        <w:pStyle w:val="ListParagraph"/>
        <w:keepNext/>
        <w:numPr>
          <w:ilvl w:val="0"/>
          <w:numId w:val="13"/>
        </w:numPr>
        <w:spacing w:after="240"/>
        <w:ind w:left="2160" w:right="720" w:hanging="720"/>
        <w:contextualSpacing w:val="0"/>
        <w:jc w:val="both"/>
        <w:rPr>
          <w:b/>
          <w:bCs/>
          <w:szCs w:val="24"/>
        </w:rPr>
      </w:pPr>
      <w:r w:rsidRPr="003A5133">
        <w:rPr>
          <w:b/>
          <w:bCs/>
          <w:szCs w:val="24"/>
        </w:rPr>
        <w:t xml:space="preserve">The </w:t>
      </w:r>
      <w:r w:rsidR="00A46CF6" w:rsidRPr="003A5133">
        <w:rPr>
          <w:b/>
          <w:bCs/>
          <w:szCs w:val="24"/>
        </w:rPr>
        <w:t>t</w:t>
      </w:r>
      <w:r w:rsidRPr="003A5133">
        <w:rPr>
          <w:b/>
          <w:bCs/>
          <w:szCs w:val="24"/>
        </w:rPr>
        <w:t xml:space="preserve">ime and </w:t>
      </w:r>
      <w:r w:rsidR="00A46CF6" w:rsidRPr="003A5133">
        <w:rPr>
          <w:b/>
          <w:bCs/>
          <w:szCs w:val="24"/>
        </w:rPr>
        <w:t>l</w:t>
      </w:r>
      <w:r w:rsidRPr="003A5133">
        <w:rPr>
          <w:b/>
          <w:bCs/>
          <w:szCs w:val="24"/>
        </w:rPr>
        <w:t xml:space="preserve">abor </w:t>
      </w:r>
      <w:r w:rsidR="00A46CF6" w:rsidRPr="003A5133">
        <w:rPr>
          <w:b/>
          <w:bCs/>
          <w:szCs w:val="24"/>
        </w:rPr>
        <w:t>r</w:t>
      </w:r>
      <w:r w:rsidRPr="003A5133">
        <w:rPr>
          <w:b/>
          <w:bCs/>
          <w:szCs w:val="24"/>
        </w:rPr>
        <w:t>equired</w:t>
      </w:r>
    </w:p>
    <w:p w14:paraId="41F0536A" w14:textId="48A54CB0" w:rsidR="00185982" w:rsidRPr="00024D22" w:rsidRDefault="004E5F04" w:rsidP="00B3601D">
      <w:pPr>
        <w:spacing w:line="480" w:lineRule="auto"/>
        <w:ind w:firstLine="720"/>
        <w:jc w:val="both"/>
        <w:rPr>
          <w:szCs w:val="24"/>
        </w:rPr>
      </w:pPr>
      <w:r w:rsidRPr="008F6C4E">
        <w:rPr>
          <w:szCs w:val="24"/>
        </w:rPr>
        <w:t xml:space="preserve">Although this case was not extensively litigated, Class Counsel spent considerable time and energy </w:t>
      </w:r>
      <w:r w:rsidR="003F217E" w:rsidRPr="008F6C4E">
        <w:rPr>
          <w:szCs w:val="24"/>
        </w:rPr>
        <w:t xml:space="preserve">crafting a thoughtful resolution that (a) resolves </w:t>
      </w:r>
      <w:r w:rsidR="0010674D" w:rsidRPr="008F6C4E">
        <w:rPr>
          <w:szCs w:val="24"/>
        </w:rPr>
        <w:t>the Settlement Class Members’</w:t>
      </w:r>
      <w:r w:rsidR="003F217E" w:rsidRPr="008F6C4E">
        <w:rPr>
          <w:szCs w:val="24"/>
        </w:rPr>
        <w:t xml:space="preserve"> claims, (b) is not an undue burden</w:t>
      </w:r>
      <w:r w:rsidR="008B74F2" w:rsidRPr="008F6C4E">
        <w:rPr>
          <w:szCs w:val="24"/>
        </w:rPr>
        <w:t xml:space="preserve"> for Defendant and does not require Defendant to </w:t>
      </w:r>
      <w:r w:rsidR="003F217E" w:rsidRPr="008F6C4E">
        <w:rPr>
          <w:szCs w:val="24"/>
        </w:rPr>
        <w:t>fundamentally alter</w:t>
      </w:r>
      <w:r w:rsidR="008B74F2" w:rsidRPr="008F6C4E">
        <w:rPr>
          <w:szCs w:val="24"/>
        </w:rPr>
        <w:t xml:space="preserve"> its ecommerce store</w:t>
      </w:r>
      <w:r w:rsidR="008F6C4E" w:rsidRPr="008F6C4E">
        <w:rPr>
          <w:szCs w:val="24"/>
        </w:rPr>
        <w:t>s</w:t>
      </w:r>
      <w:r w:rsidR="003F217E" w:rsidRPr="008F6C4E">
        <w:rPr>
          <w:szCs w:val="24"/>
        </w:rPr>
        <w:t xml:space="preserve">, and (c) </w:t>
      </w:r>
      <w:r w:rsidR="008B74F2" w:rsidRPr="008F6C4E">
        <w:rPr>
          <w:szCs w:val="24"/>
        </w:rPr>
        <w:t>has survived</w:t>
      </w:r>
      <w:r w:rsidR="003F217E" w:rsidRPr="008F6C4E">
        <w:rPr>
          <w:szCs w:val="24"/>
        </w:rPr>
        <w:t xml:space="preserve"> scrutiny from leading disability rights organizations, like </w:t>
      </w:r>
      <w:r w:rsidR="00A21884" w:rsidRPr="008F6C4E">
        <w:rPr>
          <w:szCs w:val="24"/>
        </w:rPr>
        <w:t xml:space="preserve">the </w:t>
      </w:r>
      <w:r w:rsidR="008B74F2" w:rsidRPr="008F6C4E">
        <w:rPr>
          <w:szCs w:val="24"/>
        </w:rPr>
        <w:t xml:space="preserve">National Federation of the Blind </w:t>
      </w:r>
      <w:r w:rsidR="00A21884" w:rsidRPr="008F6C4E">
        <w:rPr>
          <w:szCs w:val="24"/>
        </w:rPr>
        <w:t xml:space="preserve">and </w:t>
      </w:r>
      <w:r w:rsidR="008F6C4E" w:rsidRPr="008F6C4E">
        <w:rPr>
          <w:szCs w:val="24"/>
        </w:rPr>
        <w:t>numerous</w:t>
      </w:r>
      <w:r w:rsidR="00A21884" w:rsidRPr="008F6C4E">
        <w:rPr>
          <w:szCs w:val="24"/>
        </w:rPr>
        <w:t xml:space="preserve"> others, </w:t>
      </w:r>
      <w:r w:rsidR="008B74F2" w:rsidRPr="008F6C4E">
        <w:rPr>
          <w:szCs w:val="24"/>
        </w:rPr>
        <w:t xml:space="preserve">who </w:t>
      </w:r>
      <w:r w:rsidR="00935CB5" w:rsidRPr="008F6C4E">
        <w:rPr>
          <w:szCs w:val="24"/>
        </w:rPr>
        <w:t>have</w:t>
      </w:r>
      <w:r w:rsidR="008B74F2" w:rsidRPr="008F6C4E">
        <w:rPr>
          <w:szCs w:val="24"/>
        </w:rPr>
        <w:t xml:space="preserve"> </w:t>
      </w:r>
      <w:r w:rsidR="00A21884" w:rsidRPr="008F6C4E">
        <w:rPr>
          <w:szCs w:val="24"/>
        </w:rPr>
        <w:t xml:space="preserve">been </w:t>
      </w:r>
      <w:r w:rsidR="007C2398" w:rsidRPr="008F6C4E">
        <w:rPr>
          <w:szCs w:val="24"/>
        </w:rPr>
        <w:t>notified</w:t>
      </w:r>
      <w:r w:rsidR="008B74F2" w:rsidRPr="008F6C4E">
        <w:rPr>
          <w:szCs w:val="24"/>
        </w:rPr>
        <w:t xml:space="preserve"> of the Agreement but have not </w:t>
      </w:r>
      <w:r w:rsidR="00A21884" w:rsidRPr="008F6C4E">
        <w:rPr>
          <w:szCs w:val="24"/>
        </w:rPr>
        <w:t xml:space="preserve">yet </w:t>
      </w:r>
      <w:r w:rsidR="008B74F2" w:rsidRPr="008F6C4E">
        <w:rPr>
          <w:szCs w:val="24"/>
        </w:rPr>
        <w:t>filed objections</w:t>
      </w:r>
      <w:r w:rsidR="003F217E" w:rsidRPr="008F6C4E">
        <w:rPr>
          <w:szCs w:val="24"/>
        </w:rPr>
        <w:t xml:space="preserve">. </w:t>
      </w:r>
      <w:r w:rsidR="00075DA9" w:rsidRPr="008F6C4E">
        <w:rPr>
          <w:szCs w:val="24"/>
        </w:rPr>
        <w:t>Since</w:t>
      </w:r>
      <w:r w:rsidR="00D52989" w:rsidRPr="008F6C4E">
        <w:rPr>
          <w:szCs w:val="24"/>
        </w:rPr>
        <w:t xml:space="preserve"> </w:t>
      </w:r>
      <w:r w:rsidR="008B74F2" w:rsidRPr="008F6C4E">
        <w:rPr>
          <w:szCs w:val="24"/>
        </w:rPr>
        <w:t xml:space="preserve">the Agreement </w:t>
      </w:r>
      <w:r w:rsidR="008B74F2" w:rsidRPr="008F6C4E">
        <w:rPr>
          <w:iCs/>
          <w:szCs w:val="24"/>
        </w:rPr>
        <w:t xml:space="preserve">is </w:t>
      </w:r>
      <w:r w:rsidR="00897D67" w:rsidRPr="008F6C4E">
        <w:rPr>
          <w:iCs/>
          <w:szCs w:val="24"/>
        </w:rPr>
        <w:t>similar to</w:t>
      </w:r>
      <w:r w:rsidR="008B74F2" w:rsidRPr="008F6C4E">
        <w:rPr>
          <w:iCs/>
          <w:szCs w:val="24"/>
        </w:rPr>
        <w:t xml:space="preserve"> the settlements </w:t>
      </w:r>
      <w:r w:rsidR="00D52989" w:rsidRPr="008F6C4E">
        <w:rPr>
          <w:iCs/>
          <w:szCs w:val="24"/>
        </w:rPr>
        <w:t>finally</w:t>
      </w:r>
      <w:r w:rsidR="00897D67" w:rsidRPr="008F6C4E">
        <w:rPr>
          <w:iCs/>
          <w:szCs w:val="24"/>
        </w:rPr>
        <w:t xml:space="preserve"> </w:t>
      </w:r>
      <w:r w:rsidR="008B74F2" w:rsidRPr="008F6C4E">
        <w:rPr>
          <w:iCs/>
          <w:szCs w:val="24"/>
        </w:rPr>
        <w:t>approved in</w:t>
      </w:r>
      <w:r w:rsidR="00897D67" w:rsidRPr="008F6C4E">
        <w:rPr>
          <w:iCs/>
          <w:szCs w:val="24"/>
        </w:rPr>
        <w:t xml:space="preserve"> </w:t>
      </w:r>
      <w:r w:rsidR="00075DA9" w:rsidRPr="008F6C4E">
        <w:rPr>
          <w:i/>
          <w:szCs w:val="24"/>
        </w:rPr>
        <w:t>Eyebobs</w:t>
      </w:r>
      <w:r w:rsidR="00075DA9" w:rsidRPr="008F6C4E">
        <w:rPr>
          <w:iCs/>
          <w:szCs w:val="24"/>
        </w:rPr>
        <w:t xml:space="preserve">, </w:t>
      </w:r>
      <w:r w:rsidR="00075DA9" w:rsidRPr="008F6C4E">
        <w:rPr>
          <w:i/>
          <w:szCs w:val="24"/>
        </w:rPr>
        <w:t>Charles Tyrwhitt</w:t>
      </w:r>
      <w:r w:rsidR="00075DA9" w:rsidRPr="008F6C4E">
        <w:rPr>
          <w:iCs/>
          <w:szCs w:val="24"/>
        </w:rPr>
        <w:t xml:space="preserve">, </w:t>
      </w:r>
      <w:r w:rsidR="00075DA9" w:rsidRPr="008F6C4E">
        <w:rPr>
          <w:i/>
          <w:szCs w:val="24"/>
        </w:rPr>
        <w:t>Poly-Wood</w:t>
      </w:r>
      <w:r w:rsidR="0042421A" w:rsidRPr="008F6C4E">
        <w:rPr>
          <w:iCs/>
          <w:szCs w:val="24"/>
        </w:rPr>
        <w:t xml:space="preserve">, </w:t>
      </w:r>
      <w:r w:rsidR="00075DA9" w:rsidRPr="008F6C4E">
        <w:rPr>
          <w:i/>
          <w:szCs w:val="24"/>
        </w:rPr>
        <w:t>The Hundreds</w:t>
      </w:r>
      <w:r w:rsidR="00075DA9" w:rsidRPr="008F6C4E">
        <w:rPr>
          <w:iCs/>
          <w:szCs w:val="24"/>
        </w:rPr>
        <w:t>,</w:t>
      </w:r>
      <w:r w:rsidR="0042421A" w:rsidRPr="008F6C4E">
        <w:rPr>
          <w:iCs/>
          <w:szCs w:val="24"/>
        </w:rPr>
        <w:t xml:space="preserve"> and </w:t>
      </w:r>
      <w:r w:rsidR="0042421A" w:rsidRPr="008F6C4E">
        <w:rPr>
          <w:i/>
          <w:szCs w:val="24"/>
        </w:rPr>
        <w:t>Optavia</w:t>
      </w:r>
      <w:r w:rsidR="0042421A" w:rsidRPr="008F6C4E">
        <w:rPr>
          <w:iCs/>
          <w:szCs w:val="24"/>
        </w:rPr>
        <w:t>,</w:t>
      </w:r>
      <w:r w:rsidR="00075DA9" w:rsidRPr="008F6C4E">
        <w:rPr>
          <w:iCs/>
          <w:szCs w:val="24"/>
        </w:rPr>
        <w:t xml:space="preserve"> </w:t>
      </w:r>
      <w:r w:rsidR="008F2172" w:rsidRPr="008F6C4E">
        <w:rPr>
          <w:szCs w:val="24"/>
        </w:rPr>
        <w:t xml:space="preserve">the time Class Counsel devoted </w:t>
      </w:r>
      <w:r w:rsidR="008F2172" w:rsidRPr="00024D22">
        <w:rPr>
          <w:szCs w:val="24"/>
        </w:rPr>
        <w:t xml:space="preserve">to </w:t>
      </w:r>
      <w:r w:rsidR="00144BF6" w:rsidRPr="00024D22">
        <w:rPr>
          <w:szCs w:val="24"/>
        </w:rPr>
        <w:t>the Agreement</w:t>
      </w:r>
      <w:r w:rsidR="008F2172" w:rsidRPr="00024D22">
        <w:rPr>
          <w:szCs w:val="24"/>
        </w:rPr>
        <w:t xml:space="preserve"> and shepherding it through the approval process was fair and reasonable</w:t>
      </w:r>
      <w:r w:rsidR="008B74F2" w:rsidRPr="00024D22">
        <w:rPr>
          <w:szCs w:val="24"/>
        </w:rPr>
        <w:t xml:space="preserve">, and supports </w:t>
      </w:r>
      <w:r w:rsidR="00546E14" w:rsidRPr="00024D22">
        <w:rPr>
          <w:szCs w:val="24"/>
        </w:rPr>
        <w:t>the requested fee</w:t>
      </w:r>
      <w:r w:rsidR="00075DA9" w:rsidRPr="00024D22">
        <w:rPr>
          <w:szCs w:val="24"/>
        </w:rPr>
        <w:t>s</w:t>
      </w:r>
      <w:r w:rsidR="00546E14" w:rsidRPr="00024D22">
        <w:rPr>
          <w:szCs w:val="24"/>
        </w:rPr>
        <w:t>.</w:t>
      </w:r>
    </w:p>
    <w:p w14:paraId="27EAD345" w14:textId="2F8470D1" w:rsidR="00144BF6" w:rsidRPr="00024D22" w:rsidRDefault="00144BF6" w:rsidP="00E458A2">
      <w:pPr>
        <w:pStyle w:val="ListParagraph"/>
        <w:keepNext/>
        <w:numPr>
          <w:ilvl w:val="0"/>
          <w:numId w:val="13"/>
        </w:numPr>
        <w:spacing w:after="240"/>
        <w:ind w:left="2160" w:right="720" w:hanging="720"/>
        <w:contextualSpacing w:val="0"/>
        <w:jc w:val="both"/>
        <w:rPr>
          <w:b/>
          <w:bCs/>
          <w:szCs w:val="24"/>
        </w:rPr>
      </w:pPr>
      <w:r w:rsidRPr="00024D22">
        <w:rPr>
          <w:b/>
          <w:bCs/>
          <w:szCs w:val="24"/>
        </w:rPr>
        <w:t xml:space="preserve">The </w:t>
      </w:r>
      <w:r w:rsidR="00A46CF6" w:rsidRPr="00024D22">
        <w:rPr>
          <w:b/>
          <w:bCs/>
          <w:szCs w:val="24"/>
        </w:rPr>
        <w:t>n</w:t>
      </w:r>
      <w:r w:rsidRPr="00024D22">
        <w:rPr>
          <w:b/>
          <w:bCs/>
          <w:szCs w:val="24"/>
        </w:rPr>
        <w:t xml:space="preserve">ovelty and </w:t>
      </w:r>
      <w:r w:rsidR="00A46CF6" w:rsidRPr="00024D22">
        <w:rPr>
          <w:b/>
          <w:bCs/>
          <w:szCs w:val="24"/>
        </w:rPr>
        <w:t>d</w:t>
      </w:r>
      <w:r w:rsidRPr="00024D22">
        <w:rPr>
          <w:b/>
          <w:bCs/>
          <w:szCs w:val="24"/>
        </w:rPr>
        <w:t xml:space="preserve">ifficulty of the </w:t>
      </w:r>
      <w:r w:rsidR="00A46CF6" w:rsidRPr="00024D22">
        <w:rPr>
          <w:b/>
          <w:bCs/>
          <w:szCs w:val="24"/>
        </w:rPr>
        <w:t>q</w:t>
      </w:r>
      <w:r w:rsidRPr="00024D22">
        <w:rPr>
          <w:b/>
          <w:bCs/>
          <w:szCs w:val="24"/>
        </w:rPr>
        <w:t>uestions</w:t>
      </w:r>
    </w:p>
    <w:p w14:paraId="0F572769" w14:textId="1B47FBB6" w:rsidR="0010674D" w:rsidRPr="001F3441" w:rsidRDefault="00664CB9" w:rsidP="00B3601D">
      <w:pPr>
        <w:spacing w:line="480" w:lineRule="auto"/>
        <w:ind w:firstLine="720"/>
        <w:jc w:val="both"/>
        <w:rPr>
          <w:szCs w:val="24"/>
        </w:rPr>
      </w:pPr>
      <w:r w:rsidRPr="00024D22">
        <w:rPr>
          <w:szCs w:val="24"/>
        </w:rPr>
        <w:t>While</w:t>
      </w:r>
      <w:r w:rsidR="00144BF6" w:rsidRPr="00024D22">
        <w:rPr>
          <w:szCs w:val="24"/>
        </w:rPr>
        <w:t xml:space="preserve"> many </w:t>
      </w:r>
      <w:r w:rsidR="002573EE" w:rsidRPr="00024D22">
        <w:rPr>
          <w:szCs w:val="24"/>
        </w:rPr>
        <w:t xml:space="preserve">website accessibility cases have been </w:t>
      </w:r>
      <w:r w:rsidR="00E71ED7" w:rsidRPr="00024D22">
        <w:rPr>
          <w:szCs w:val="24"/>
        </w:rPr>
        <w:t xml:space="preserve">litigated in this </w:t>
      </w:r>
      <w:r w:rsidR="00BC787A">
        <w:rPr>
          <w:szCs w:val="24"/>
        </w:rPr>
        <w:t>D</w:t>
      </w:r>
      <w:r w:rsidR="00E71ED7" w:rsidRPr="00024D22">
        <w:rPr>
          <w:szCs w:val="24"/>
        </w:rPr>
        <w:t>istrict</w:t>
      </w:r>
      <w:r w:rsidR="002573EE" w:rsidRPr="00024D22">
        <w:rPr>
          <w:szCs w:val="24"/>
        </w:rPr>
        <w:t xml:space="preserve">, </w:t>
      </w:r>
      <w:r w:rsidR="006D4C5F" w:rsidRPr="00024D22">
        <w:rPr>
          <w:szCs w:val="24"/>
        </w:rPr>
        <w:t xml:space="preserve">the defense bar </w:t>
      </w:r>
      <w:r w:rsidR="002573EE" w:rsidRPr="00024D22">
        <w:rPr>
          <w:szCs w:val="24"/>
        </w:rPr>
        <w:t>regularly contend</w:t>
      </w:r>
      <w:r w:rsidR="006D4C5F" w:rsidRPr="00024D22">
        <w:rPr>
          <w:szCs w:val="24"/>
        </w:rPr>
        <w:t>s</w:t>
      </w:r>
      <w:r w:rsidR="002573EE" w:rsidRPr="00024D22">
        <w:rPr>
          <w:szCs w:val="24"/>
        </w:rPr>
        <w:t xml:space="preserve"> </w:t>
      </w:r>
      <w:r w:rsidR="0033791E" w:rsidRPr="00024D22">
        <w:rPr>
          <w:szCs w:val="24"/>
        </w:rPr>
        <w:t xml:space="preserve">that </w:t>
      </w:r>
      <w:r w:rsidR="002573EE" w:rsidRPr="00024D22">
        <w:rPr>
          <w:szCs w:val="24"/>
        </w:rPr>
        <w:t>the ADA does not extend to digital spaces, like</w:t>
      </w:r>
      <w:r w:rsidR="004C72E7" w:rsidRPr="00024D22">
        <w:rPr>
          <w:szCs w:val="24"/>
        </w:rPr>
        <w:t xml:space="preserve"> </w:t>
      </w:r>
      <w:r w:rsidR="00995B70" w:rsidRPr="00024D22">
        <w:rPr>
          <w:szCs w:val="24"/>
        </w:rPr>
        <w:t>Defendant’s</w:t>
      </w:r>
      <w:r w:rsidR="00916F3D" w:rsidRPr="00024D22">
        <w:rPr>
          <w:szCs w:val="24"/>
        </w:rPr>
        <w:t xml:space="preserve"> </w:t>
      </w:r>
      <w:r w:rsidR="002573EE" w:rsidRPr="00024D22">
        <w:rPr>
          <w:szCs w:val="24"/>
        </w:rPr>
        <w:t>online store</w:t>
      </w:r>
      <w:r w:rsidR="00024D22" w:rsidRPr="00024D22">
        <w:rPr>
          <w:szCs w:val="24"/>
        </w:rPr>
        <w:t>s</w:t>
      </w:r>
      <w:r w:rsidR="002573EE" w:rsidRPr="00024D22">
        <w:rPr>
          <w:szCs w:val="24"/>
        </w:rPr>
        <w:t>.</w:t>
      </w:r>
      <w:r w:rsidR="001D4C16" w:rsidRPr="00024D22">
        <w:rPr>
          <w:szCs w:val="24"/>
        </w:rPr>
        <w:t xml:space="preserve"> </w:t>
      </w:r>
      <w:r w:rsidR="001D4C16" w:rsidRPr="00024D22">
        <w:rPr>
          <w:i/>
          <w:iCs/>
          <w:szCs w:val="24"/>
        </w:rPr>
        <w:t>See</w:t>
      </w:r>
      <w:r w:rsidR="00736303" w:rsidRPr="00024D22">
        <w:rPr>
          <w:i/>
          <w:iCs/>
          <w:szCs w:val="24"/>
        </w:rPr>
        <w:t>, e.g.,</w:t>
      </w:r>
      <w:r w:rsidR="001D4C16" w:rsidRPr="00024D22">
        <w:rPr>
          <w:szCs w:val="24"/>
        </w:rPr>
        <w:t xml:space="preserve"> </w:t>
      </w:r>
      <w:r w:rsidR="004A041D" w:rsidRPr="00024D22">
        <w:rPr>
          <w:szCs w:val="24"/>
        </w:rPr>
        <w:t>Def</w:t>
      </w:r>
      <w:r w:rsidR="0076329E" w:rsidRPr="00024D22">
        <w:rPr>
          <w:szCs w:val="24"/>
        </w:rPr>
        <w:t>endant</w:t>
      </w:r>
      <w:r w:rsidR="004A041D" w:rsidRPr="00024D22">
        <w:rPr>
          <w:szCs w:val="24"/>
        </w:rPr>
        <w:t xml:space="preserve">’s </w:t>
      </w:r>
      <w:r w:rsidR="001D4C16" w:rsidRPr="00024D22">
        <w:rPr>
          <w:szCs w:val="24"/>
        </w:rPr>
        <w:t>Mot</w:t>
      </w:r>
      <w:r w:rsidR="0076329E" w:rsidRPr="00024D22">
        <w:rPr>
          <w:szCs w:val="24"/>
        </w:rPr>
        <w:t>ion</w:t>
      </w:r>
      <w:r w:rsidR="001D4C16" w:rsidRPr="00024D22">
        <w:rPr>
          <w:szCs w:val="24"/>
        </w:rPr>
        <w:t xml:space="preserve"> </w:t>
      </w:r>
      <w:r w:rsidR="004A041D" w:rsidRPr="00024D22">
        <w:rPr>
          <w:szCs w:val="24"/>
        </w:rPr>
        <w:t xml:space="preserve">to Certify and to Stay Action, </w:t>
      </w:r>
      <w:r w:rsidR="001D4C16" w:rsidRPr="00024D22">
        <w:rPr>
          <w:i/>
          <w:iCs/>
          <w:szCs w:val="24"/>
        </w:rPr>
        <w:t xml:space="preserve">Douglass v. Hedley </w:t>
      </w:r>
      <w:r w:rsidR="0076329E" w:rsidRPr="00024D22">
        <w:rPr>
          <w:i/>
          <w:iCs/>
          <w:szCs w:val="24"/>
        </w:rPr>
        <w:t>&amp;</w:t>
      </w:r>
      <w:r w:rsidR="001D4C16" w:rsidRPr="00024D22">
        <w:rPr>
          <w:i/>
          <w:iCs/>
          <w:szCs w:val="24"/>
        </w:rPr>
        <w:t xml:space="preserve"> Bennett</w:t>
      </w:r>
      <w:r w:rsidR="0076329E" w:rsidRPr="00024D22">
        <w:rPr>
          <w:i/>
          <w:iCs/>
          <w:szCs w:val="24"/>
        </w:rPr>
        <w:t>, Inc.</w:t>
      </w:r>
      <w:r w:rsidR="001D4C16" w:rsidRPr="00024D22">
        <w:rPr>
          <w:szCs w:val="24"/>
        </w:rPr>
        <w:t>,</w:t>
      </w:r>
      <w:r w:rsidR="004A041D" w:rsidRPr="00024D22">
        <w:rPr>
          <w:szCs w:val="24"/>
        </w:rPr>
        <w:t xml:space="preserve"> No. 2:21-cv-01165, </w:t>
      </w:r>
      <w:r w:rsidR="0033791E" w:rsidRPr="00024D22">
        <w:rPr>
          <w:szCs w:val="24"/>
        </w:rPr>
        <w:t>Doc.</w:t>
      </w:r>
      <w:r w:rsidR="004A041D" w:rsidRPr="00024D22">
        <w:rPr>
          <w:szCs w:val="24"/>
        </w:rPr>
        <w:t xml:space="preserve"> 51</w:t>
      </w:r>
      <w:r w:rsidR="0033791E" w:rsidRPr="00024D22">
        <w:rPr>
          <w:szCs w:val="24"/>
        </w:rPr>
        <w:t>, ¶ 1</w:t>
      </w:r>
      <w:r w:rsidR="004A041D" w:rsidRPr="00024D22">
        <w:rPr>
          <w:szCs w:val="24"/>
        </w:rPr>
        <w:t xml:space="preserve"> (W.D. Pa.</w:t>
      </w:r>
      <w:r w:rsidR="0076329E" w:rsidRPr="00024D22">
        <w:rPr>
          <w:szCs w:val="24"/>
        </w:rPr>
        <w:t xml:space="preserve"> Oct. 27, 2021</w:t>
      </w:r>
      <w:r w:rsidR="004A041D" w:rsidRPr="00024D22">
        <w:rPr>
          <w:szCs w:val="24"/>
        </w:rPr>
        <w:t xml:space="preserve">) (“Does Title III of the </w:t>
      </w:r>
      <w:r w:rsidR="00736303" w:rsidRPr="00024D22">
        <w:rPr>
          <w:szCs w:val="24"/>
        </w:rPr>
        <w:t>[ADA] . . .</w:t>
      </w:r>
      <w:r w:rsidR="004A041D" w:rsidRPr="00024D22">
        <w:rPr>
          <w:szCs w:val="24"/>
        </w:rPr>
        <w:t xml:space="preserve"> apply to the website of a wholly online business without any physical locations?”)</w:t>
      </w:r>
      <w:r w:rsidR="00E71ED7" w:rsidRPr="00024D22">
        <w:rPr>
          <w:szCs w:val="24"/>
        </w:rPr>
        <w:t>;</w:t>
      </w:r>
      <w:r w:rsidR="002573EE" w:rsidRPr="00024D22">
        <w:rPr>
          <w:szCs w:val="24"/>
        </w:rPr>
        <w:t xml:space="preserve"> </w:t>
      </w:r>
      <w:r w:rsidR="00E71ED7" w:rsidRPr="00024D22">
        <w:rPr>
          <w:i/>
          <w:iCs/>
          <w:szCs w:val="24"/>
        </w:rPr>
        <w:t>b</w:t>
      </w:r>
      <w:r w:rsidR="006D4C5F" w:rsidRPr="00024D22">
        <w:rPr>
          <w:i/>
          <w:iCs/>
          <w:szCs w:val="24"/>
        </w:rPr>
        <w:t>ut see Murphy v. Bob Cochran Motors, Inc.</w:t>
      </w:r>
      <w:r w:rsidR="006D4C5F" w:rsidRPr="00024D22">
        <w:rPr>
          <w:szCs w:val="24"/>
        </w:rPr>
        <w:t>, No. 1:19-cv-00239, 2020 U.S. Dist. LEXIS 139887, at *20 n.5 (W.D. Pa. Aug. 4, 2020)</w:t>
      </w:r>
      <w:r w:rsidR="00284384" w:rsidRPr="00024D22">
        <w:rPr>
          <w:szCs w:val="24"/>
        </w:rPr>
        <w:fldChar w:fldCharType="begin"/>
      </w:r>
      <w:r w:rsidR="00284384" w:rsidRPr="00024D22">
        <w:rPr>
          <w:szCs w:val="24"/>
        </w:rPr>
        <w:instrText xml:space="preserve"> TA \l "</w:instrText>
      </w:r>
      <w:r w:rsidR="00284384" w:rsidRPr="00024D22">
        <w:rPr>
          <w:i/>
          <w:iCs/>
          <w:szCs w:val="24"/>
        </w:rPr>
        <w:instrText>Murphy v. Bob Cochran Motors, Inc.</w:instrText>
      </w:r>
      <w:r w:rsidR="00284384" w:rsidRPr="00024D22">
        <w:rPr>
          <w:i/>
          <w:iCs/>
          <w:szCs w:val="24"/>
        </w:rPr>
        <w:br/>
      </w:r>
      <w:r w:rsidR="00284384" w:rsidRPr="00024D22">
        <w:rPr>
          <w:szCs w:val="24"/>
        </w:rPr>
        <w:instrText xml:space="preserve">No. 1:19-cv-00239, 2020 U.S. Dist. LEXIS 139887 (W.D. Pa. Aug. 4, 2020)" \s "Murphy v. Bob Cochran Motors, Inc., No. 1:19-cv-00239, 2020 U.S. Dist. LEXIS 139887, at *20 n. 5 (W.D. Pa. Aug. 4, 2020)" \c 1 </w:instrText>
      </w:r>
      <w:r w:rsidR="00284384" w:rsidRPr="00024D22">
        <w:rPr>
          <w:szCs w:val="24"/>
        </w:rPr>
        <w:fldChar w:fldCharType="end"/>
      </w:r>
      <w:r w:rsidR="006D4C5F" w:rsidRPr="00024D22">
        <w:rPr>
          <w:szCs w:val="24"/>
        </w:rPr>
        <w:t xml:space="preserve">, </w:t>
      </w:r>
      <w:r w:rsidR="006D4C5F" w:rsidRPr="00024D22">
        <w:rPr>
          <w:i/>
          <w:iCs/>
          <w:szCs w:val="24"/>
        </w:rPr>
        <w:t xml:space="preserve">adopted by, motion denied by, objection overruled by </w:t>
      </w:r>
      <w:r w:rsidR="006D4C5F" w:rsidRPr="00024D22">
        <w:rPr>
          <w:szCs w:val="24"/>
        </w:rPr>
        <w:t xml:space="preserve">2020 U.S. Dist. LEXIS </w:t>
      </w:r>
      <w:r w:rsidR="006D4C5F" w:rsidRPr="00024D22">
        <w:rPr>
          <w:szCs w:val="24"/>
        </w:rPr>
        <w:lastRenderedPageBreak/>
        <w:t>177593 (W.D. Pa. Sept. 28, 2020)</w:t>
      </w:r>
      <w:r w:rsidR="00284384" w:rsidRPr="00024D22">
        <w:rPr>
          <w:szCs w:val="24"/>
        </w:rPr>
        <w:fldChar w:fldCharType="begin"/>
      </w:r>
      <w:r w:rsidR="00284384" w:rsidRPr="00024D22">
        <w:rPr>
          <w:szCs w:val="24"/>
        </w:rPr>
        <w:instrText xml:space="preserve"> TA \l "</w:instrText>
      </w:r>
      <w:r w:rsidR="00284384" w:rsidRPr="00024D22">
        <w:rPr>
          <w:i/>
          <w:iCs/>
          <w:szCs w:val="24"/>
        </w:rPr>
        <w:instrText>Murphy v. Bob Cochran Motors, Inc</w:instrText>
      </w:r>
      <w:r w:rsidR="00284384" w:rsidRPr="00024D22">
        <w:rPr>
          <w:szCs w:val="24"/>
        </w:rPr>
        <w:instrText>.</w:instrText>
      </w:r>
      <w:r w:rsidR="00284384" w:rsidRPr="00024D22">
        <w:rPr>
          <w:szCs w:val="24"/>
        </w:rPr>
        <w:br/>
        <w:instrText xml:space="preserve">2020 U.S. Dist. LEXIS 177593 (W.D. Pa., Sept. 28, 2020)" \s "Murphy v. Bob Cochran Motors, Inc., 2020 U.S. Dist. LEXIS 177593 (W.D. Pa., Sept. 28, 2020)" \c 1 </w:instrText>
      </w:r>
      <w:r w:rsidR="00284384" w:rsidRPr="00024D22">
        <w:rPr>
          <w:szCs w:val="24"/>
        </w:rPr>
        <w:fldChar w:fldCharType="end"/>
      </w:r>
      <w:r w:rsidR="006D4C5F" w:rsidRPr="00024D22">
        <w:rPr>
          <w:szCs w:val="24"/>
        </w:rPr>
        <w:t xml:space="preserve"> </w:t>
      </w:r>
      <w:r w:rsidR="0058326C" w:rsidRPr="00024D22">
        <w:rPr>
          <w:szCs w:val="24"/>
        </w:rPr>
        <w:t>(“</w:t>
      </w:r>
      <w:r w:rsidR="0058326C" w:rsidRPr="00024D22">
        <w:rPr>
          <w:i/>
          <w:iCs/>
          <w:szCs w:val="24"/>
        </w:rPr>
        <w:t>Bob Cochran</w:t>
      </w:r>
      <w:r w:rsidR="0058326C" w:rsidRPr="00024D22">
        <w:rPr>
          <w:szCs w:val="24"/>
        </w:rPr>
        <w:t xml:space="preserve">”) </w:t>
      </w:r>
      <w:r w:rsidR="006D4C5F" w:rsidRPr="00024D22">
        <w:rPr>
          <w:szCs w:val="24"/>
        </w:rPr>
        <w:t xml:space="preserve">(“Construing ‘public accommodation’ as </w:t>
      </w:r>
      <w:r w:rsidR="00ED0A49" w:rsidRPr="00024D22">
        <w:rPr>
          <w:szCs w:val="24"/>
        </w:rPr>
        <w:t xml:space="preserve">[being] </w:t>
      </w:r>
      <w:r w:rsidR="006D4C5F" w:rsidRPr="00024D22">
        <w:rPr>
          <w:szCs w:val="24"/>
        </w:rPr>
        <w:t xml:space="preserve">limited to physical facilities seems antiquated in light of the expansion and prevalence of the internet and e-commerce.”). </w:t>
      </w:r>
      <w:r w:rsidR="00157F1C" w:rsidRPr="00024D22">
        <w:rPr>
          <w:szCs w:val="24"/>
        </w:rPr>
        <w:t xml:space="preserve">Given the legal uncertainty </w:t>
      </w:r>
      <w:r w:rsidR="00546E14" w:rsidRPr="00024D22">
        <w:rPr>
          <w:szCs w:val="24"/>
        </w:rPr>
        <w:t>surrounding Plaintiff’</w:t>
      </w:r>
      <w:r w:rsidR="004C72E7" w:rsidRPr="00024D22">
        <w:rPr>
          <w:szCs w:val="24"/>
        </w:rPr>
        <w:t>s</w:t>
      </w:r>
      <w:r w:rsidR="00546E14" w:rsidRPr="00024D22">
        <w:rPr>
          <w:szCs w:val="24"/>
        </w:rPr>
        <w:t xml:space="preserve"> claim, this factor supports the </w:t>
      </w:r>
      <w:r w:rsidR="00546E14" w:rsidRPr="001F3441">
        <w:rPr>
          <w:szCs w:val="24"/>
        </w:rPr>
        <w:t>reasonableness of Class Counsel’s requested fee</w:t>
      </w:r>
      <w:r w:rsidR="00075DA9" w:rsidRPr="001F3441">
        <w:rPr>
          <w:szCs w:val="24"/>
        </w:rPr>
        <w:t>s</w:t>
      </w:r>
      <w:r w:rsidR="00546E14" w:rsidRPr="001F3441">
        <w:rPr>
          <w:szCs w:val="24"/>
        </w:rPr>
        <w:t>.</w:t>
      </w:r>
    </w:p>
    <w:p w14:paraId="548E5FFF" w14:textId="6A2D61ED" w:rsidR="00546E14" w:rsidRPr="001F3441" w:rsidRDefault="00546E14" w:rsidP="00E458A2">
      <w:pPr>
        <w:pStyle w:val="ListParagraph"/>
        <w:keepNext/>
        <w:numPr>
          <w:ilvl w:val="0"/>
          <w:numId w:val="13"/>
        </w:numPr>
        <w:spacing w:after="240"/>
        <w:ind w:left="2160" w:right="720" w:hanging="720"/>
        <w:contextualSpacing w:val="0"/>
        <w:jc w:val="both"/>
        <w:rPr>
          <w:b/>
          <w:bCs/>
          <w:szCs w:val="24"/>
        </w:rPr>
      </w:pPr>
      <w:r w:rsidRPr="001F3441">
        <w:rPr>
          <w:b/>
          <w:bCs/>
          <w:szCs w:val="24"/>
        </w:rPr>
        <w:t xml:space="preserve">The </w:t>
      </w:r>
      <w:r w:rsidR="00356A9D" w:rsidRPr="001F3441">
        <w:rPr>
          <w:b/>
          <w:bCs/>
          <w:szCs w:val="24"/>
        </w:rPr>
        <w:t>s</w:t>
      </w:r>
      <w:r w:rsidR="00D53E94" w:rsidRPr="001F3441">
        <w:rPr>
          <w:b/>
          <w:bCs/>
          <w:szCs w:val="24"/>
        </w:rPr>
        <w:t xml:space="preserve">kill </w:t>
      </w:r>
      <w:r w:rsidR="00356A9D" w:rsidRPr="001F3441">
        <w:rPr>
          <w:b/>
          <w:bCs/>
          <w:szCs w:val="24"/>
        </w:rPr>
        <w:t>r</w:t>
      </w:r>
      <w:r w:rsidR="00D53E94" w:rsidRPr="001F3441">
        <w:rPr>
          <w:b/>
          <w:bCs/>
          <w:szCs w:val="24"/>
        </w:rPr>
        <w:t xml:space="preserve">equired to </w:t>
      </w:r>
      <w:r w:rsidR="00356A9D" w:rsidRPr="001F3441">
        <w:rPr>
          <w:b/>
          <w:bCs/>
          <w:szCs w:val="24"/>
        </w:rPr>
        <w:t>p</w:t>
      </w:r>
      <w:r w:rsidR="00D53E94" w:rsidRPr="001F3441">
        <w:rPr>
          <w:b/>
          <w:bCs/>
          <w:szCs w:val="24"/>
        </w:rPr>
        <w:t xml:space="preserve">erform the </w:t>
      </w:r>
      <w:r w:rsidR="00356A9D" w:rsidRPr="001F3441">
        <w:rPr>
          <w:b/>
          <w:bCs/>
          <w:szCs w:val="24"/>
        </w:rPr>
        <w:t>l</w:t>
      </w:r>
      <w:r w:rsidR="00D53E94" w:rsidRPr="001F3441">
        <w:rPr>
          <w:b/>
          <w:bCs/>
          <w:szCs w:val="24"/>
        </w:rPr>
        <w:t xml:space="preserve">egal </w:t>
      </w:r>
      <w:r w:rsidR="00356A9D" w:rsidRPr="001F3441">
        <w:rPr>
          <w:b/>
          <w:bCs/>
          <w:szCs w:val="24"/>
        </w:rPr>
        <w:t>s</w:t>
      </w:r>
      <w:r w:rsidR="00D53E94" w:rsidRPr="001F3441">
        <w:rPr>
          <w:b/>
          <w:bCs/>
          <w:szCs w:val="24"/>
        </w:rPr>
        <w:t xml:space="preserve">ervice </w:t>
      </w:r>
      <w:r w:rsidR="00356A9D" w:rsidRPr="001F3441">
        <w:rPr>
          <w:b/>
          <w:bCs/>
          <w:szCs w:val="24"/>
        </w:rPr>
        <w:t>p</w:t>
      </w:r>
      <w:r w:rsidR="00D53E94" w:rsidRPr="001F3441">
        <w:rPr>
          <w:b/>
          <w:bCs/>
          <w:szCs w:val="24"/>
        </w:rPr>
        <w:t>roperly</w:t>
      </w:r>
    </w:p>
    <w:p w14:paraId="2D2E0F3C" w14:textId="1DA80E18" w:rsidR="005E1DBA" w:rsidRPr="00F30D39" w:rsidRDefault="005E1DBA" w:rsidP="00B3601D">
      <w:pPr>
        <w:spacing w:line="480" w:lineRule="auto"/>
        <w:ind w:firstLine="720"/>
        <w:jc w:val="both"/>
        <w:rPr>
          <w:szCs w:val="24"/>
        </w:rPr>
      </w:pPr>
      <w:r w:rsidRPr="001F3441">
        <w:rPr>
          <w:szCs w:val="24"/>
        </w:rPr>
        <w:t>M</w:t>
      </w:r>
      <w:r w:rsidR="00D53E94" w:rsidRPr="001F3441">
        <w:rPr>
          <w:szCs w:val="24"/>
        </w:rPr>
        <w:t>any lawyers have filed similar cases</w:t>
      </w:r>
      <w:r w:rsidR="00220062" w:rsidRPr="001F3441">
        <w:rPr>
          <w:szCs w:val="24"/>
        </w:rPr>
        <w:t>, but f</w:t>
      </w:r>
      <w:r w:rsidRPr="001F3441">
        <w:rPr>
          <w:szCs w:val="24"/>
        </w:rPr>
        <w:t xml:space="preserve">ew have as much experience </w:t>
      </w:r>
      <w:r w:rsidR="00B7332E" w:rsidRPr="001F3441">
        <w:rPr>
          <w:szCs w:val="24"/>
        </w:rPr>
        <w:t xml:space="preserve">and success </w:t>
      </w:r>
      <w:r w:rsidRPr="001F3441">
        <w:rPr>
          <w:szCs w:val="24"/>
        </w:rPr>
        <w:t xml:space="preserve">as Class Counsel. In addition to their experience litigating class actions generally, the attorneys at East End Trial Group have litigated Title III digital accessibility claims since 2016, helping to secure landmark decisions across the country confirming public accommodations have a legal obligation to make digital content fully and equally accessible to everyone. </w:t>
      </w:r>
      <w:r w:rsidRPr="001F3441">
        <w:rPr>
          <w:i/>
          <w:iCs/>
          <w:szCs w:val="24"/>
        </w:rPr>
        <w:t>See</w:t>
      </w:r>
      <w:r w:rsidR="00220062" w:rsidRPr="001F3441">
        <w:rPr>
          <w:i/>
          <w:iCs/>
          <w:szCs w:val="24"/>
        </w:rPr>
        <w:t>,</w:t>
      </w:r>
      <w:r w:rsidRPr="001F3441">
        <w:rPr>
          <w:i/>
          <w:iCs/>
          <w:szCs w:val="24"/>
        </w:rPr>
        <w:t xml:space="preserve"> e.g.</w:t>
      </w:r>
      <w:r w:rsidR="009C0AEB" w:rsidRPr="001F3441">
        <w:rPr>
          <w:i/>
          <w:iCs/>
          <w:szCs w:val="24"/>
        </w:rPr>
        <w:t>,</w:t>
      </w:r>
      <w:r w:rsidRPr="001F3441">
        <w:rPr>
          <w:i/>
          <w:iCs/>
          <w:szCs w:val="24"/>
        </w:rPr>
        <w:t xml:space="preserve"> </w:t>
      </w:r>
      <w:r w:rsidR="00A25054" w:rsidRPr="001F3441">
        <w:rPr>
          <w:i/>
          <w:iCs/>
          <w:szCs w:val="24"/>
        </w:rPr>
        <w:t>Gniewkowski v. Lettuce Entertain You Enters., Inc</w:t>
      </w:r>
      <w:r w:rsidR="00A25054" w:rsidRPr="001F3441">
        <w:rPr>
          <w:szCs w:val="24"/>
        </w:rPr>
        <w:t xml:space="preserve">., 251 F. Supp. 3d 908 (W.D. Pa. 2017); </w:t>
      </w:r>
      <w:r w:rsidR="00A25054" w:rsidRPr="001F3441">
        <w:rPr>
          <w:i/>
          <w:iCs/>
          <w:szCs w:val="24"/>
        </w:rPr>
        <w:t xml:space="preserve">Access Now, Inc. v. </w:t>
      </w:r>
      <w:r w:rsidR="00A25054" w:rsidRPr="00F30D39">
        <w:rPr>
          <w:i/>
          <w:iCs/>
          <w:szCs w:val="24"/>
        </w:rPr>
        <w:t>Otter Prods., LLC</w:t>
      </w:r>
      <w:r w:rsidR="00A25054" w:rsidRPr="00F30D39">
        <w:rPr>
          <w:szCs w:val="24"/>
        </w:rPr>
        <w:t xml:space="preserve">, 280 F. Supp. 3d 287 (D. Mass. 2017); </w:t>
      </w:r>
      <w:r w:rsidR="00A25054" w:rsidRPr="00F30D39">
        <w:rPr>
          <w:i/>
          <w:iCs/>
          <w:szCs w:val="24"/>
        </w:rPr>
        <w:t>Access Now, Inc. v. Blue Apron, LLC</w:t>
      </w:r>
      <w:r w:rsidR="00A25054" w:rsidRPr="00F30D39">
        <w:rPr>
          <w:szCs w:val="24"/>
        </w:rPr>
        <w:t>, No. 17-cv-00116, 2017 U.S. Dist. LEXIS 185112 (D.N.H. Nov. 8, 2017)</w:t>
      </w:r>
      <w:r w:rsidR="00A56684" w:rsidRPr="00F30D39">
        <w:rPr>
          <w:szCs w:val="24"/>
        </w:rPr>
        <w:fldChar w:fldCharType="begin"/>
      </w:r>
      <w:r w:rsidR="00A56684" w:rsidRPr="00F30D39">
        <w:rPr>
          <w:szCs w:val="24"/>
        </w:rPr>
        <w:instrText xml:space="preserve"> TA \l "</w:instrText>
      </w:r>
      <w:r w:rsidR="00A56684" w:rsidRPr="00F30D39">
        <w:rPr>
          <w:i/>
          <w:iCs/>
          <w:szCs w:val="24"/>
        </w:rPr>
        <w:instrText>Access Now, Inc. v. Blue Apron, LLC</w:instrText>
      </w:r>
      <w:r w:rsidR="00A56684" w:rsidRPr="00F30D39">
        <w:rPr>
          <w:i/>
          <w:iCs/>
          <w:szCs w:val="24"/>
        </w:rPr>
        <w:br/>
      </w:r>
      <w:r w:rsidR="00A56684" w:rsidRPr="00F30D39">
        <w:rPr>
          <w:szCs w:val="24"/>
        </w:rPr>
        <w:instrText xml:space="preserve">No. 17-cv-116, 2017 U.S. Dist. LEXIS 185112 (D. N.H. Nov. 8, 2017)" \s "Access Now, Inc. v. Blue Apron, LLC, No. 17-cv-116, 2017 U.S. Dist. LEXIS 185112 (D. N.H. Nov. 8, 2017)" \c 1 </w:instrText>
      </w:r>
      <w:r w:rsidR="00A56684" w:rsidRPr="00F30D39">
        <w:rPr>
          <w:szCs w:val="24"/>
        </w:rPr>
        <w:fldChar w:fldCharType="end"/>
      </w:r>
      <w:r w:rsidRPr="00F30D39">
        <w:rPr>
          <w:szCs w:val="24"/>
        </w:rPr>
        <w:t>.</w:t>
      </w:r>
    </w:p>
    <w:p w14:paraId="11E27384" w14:textId="56ED583F" w:rsidR="00355D29" w:rsidRPr="00F30D39" w:rsidRDefault="00355D29" w:rsidP="00B3601D">
      <w:pPr>
        <w:spacing w:line="480" w:lineRule="auto"/>
        <w:ind w:firstLine="720"/>
        <w:jc w:val="both"/>
        <w:rPr>
          <w:szCs w:val="24"/>
        </w:rPr>
      </w:pPr>
      <w:r w:rsidRPr="00F30D39">
        <w:rPr>
          <w:szCs w:val="24"/>
        </w:rPr>
        <w:t xml:space="preserve">Part of Class Counsel’s success in litigating </w:t>
      </w:r>
      <w:r w:rsidR="00581004" w:rsidRPr="00F30D39">
        <w:rPr>
          <w:szCs w:val="24"/>
        </w:rPr>
        <w:t xml:space="preserve">this case </w:t>
      </w:r>
      <w:r w:rsidRPr="00F30D39">
        <w:rPr>
          <w:szCs w:val="24"/>
        </w:rPr>
        <w:t xml:space="preserve">is a result of understanding </w:t>
      </w:r>
      <w:r w:rsidR="0058326C" w:rsidRPr="00F30D39">
        <w:rPr>
          <w:szCs w:val="24"/>
        </w:rPr>
        <w:t xml:space="preserve">how </w:t>
      </w:r>
      <w:r w:rsidR="00581004" w:rsidRPr="00F30D39">
        <w:rPr>
          <w:szCs w:val="24"/>
        </w:rPr>
        <w:t>screen reader</w:t>
      </w:r>
      <w:r w:rsidR="0058326C" w:rsidRPr="00F30D39">
        <w:rPr>
          <w:szCs w:val="24"/>
        </w:rPr>
        <w:t xml:space="preserve">s work </w:t>
      </w:r>
      <w:r w:rsidRPr="00F30D39">
        <w:rPr>
          <w:szCs w:val="24"/>
        </w:rPr>
        <w:t>and how digital barriers affect blind consumers in the real</w:t>
      </w:r>
      <w:r w:rsidR="00F30D39" w:rsidRPr="00F30D39">
        <w:rPr>
          <w:szCs w:val="24"/>
        </w:rPr>
        <w:t xml:space="preserve"> </w:t>
      </w:r>
      <w:r w:rsidRPr="00F30D39">
        <w:rPr>
          <w:szCs w:val="24"/>
        </w:rPr>
        <w:t>world. This is why Plaintiff’</w:t>
      </w:r>
      <w:r w:rsidR="004C72E7" w:rsidRPr="00F30D39">
        <w:rPr>
          <w:szCs w:val="24"/>
        </w:rPr>
        <w:t>s</w:t>
      </w:r>
      <w:r w:rsidRPr="00F30D39">
        <w:rPr>
          <w:szCs w:val="24"/>
        </w:rPr>
        <w:t xml:space="preserve"> complaint describes the alleged barriers </w:t>
      </w:r>
      <w:r w:rsidR="00175736" w:rsidRPr="00F30D39">
        <w:rPr>
          <w:szCs w:val="24"/>
        </w:rPr>
        <w:t>on</w:t>
      </w:r>
      <w:r w:rsidRPr="00F30D39">
        <w:rPr>
          <w:szCs w:val="24"/>
        </w:rPr>
        <w:t xml:space="preserve"> </w:t>
      </w:r>
      <w:r w:rsidR="00995B70" w:rsidRPr="00F30D39">
        <w:rPr>
          <w:szCs w:val="24"/>
        </w:rPr>
        <w:t>Defendant’s</w:t>
      </w:r>
      <w:r w:rsidR="00916F3D" w:rsidRPr="00F30D39">
        <w:rPr>
          <w:szCs w:val="24"/>
        </w:rPr>
        <w:t xml:space="preserve"> </w:t>
      </w:r>
      <w:r w:rsidRPr="00F30D39">
        <w:rPr>
          <w:szCs w:val="24"/>
        </w:rPr>
        <w:t>online store</w:t>
      </w:r>
      <w:r w:rsidR="00F30D39" w:rsidRPr="00F30D39">
        <w:rPr>
          <w:szCs w:val="24"/>
        </w:rPr>
        <w:t>s</w:t>
      </w:r>
      <w:r w:rsidRPr="00F30D39">
        <w:rPr>
          <w:szCs w:val="24"/>
        </w:rPr>
        <w:t xml:space="preserve"> </w:t>
      </w:r>
      <w:r w:rsidR="004B76B1" w:rsidRPr="00F30D39">
        <w:rPr>
          <w:szCs w:val="24"/>
        </w:rPr>
        <w:t>with</w:t>
      </w:r>
      <w:r w:rsidRPr="00F30D39">
        <w:rPr>
          <w:szCs w:val="24"/>
        </w:rPr>
        <w:t xml:space="preserve"> </w:t>
      </w:r>
      <w:r w:rsidR="004B76B1" w:rsidRPr="00F30D39">
        <w:rPr>
          <w:szCs w:val="24"/>
        </w:rPr>
        <w:t xml:space="preserve">plain language </w:t>
      </w:r>
      <w:r w:rsidRPr="00F30D39">
        <w:rPr>
          <w:szCs w:val="24"/>
        </w:rPr>
        <w:t xml:space="preserve">and </w:t>
      </w:r>
      <w:r w:rsidR="004B76B1" w:rsidRPr="00F30D39">
        <w:rPr>
          <w:szCs w:val="24"/>
        </w:rPr>
        <w:t>illustrations</w:t>
      </w:r>
      <w:r w:rsidRPr="00F30D39">
        <w:rPr>
          <w:szCs w:val="24"/>
        </w:rPr>
        <w:t xml:space="preserve">, instead of a computer audit </w:t>
      </w:r>
      <w:r w:rsidR="004B76B1" w:rsidRPr="00F30D39">
        <w:rPr>
          <w:szCs w:val="24"/>
        </w:rPr>
        <w:t>without explanation</w:t>
      </w:r>
      <w:r w:rsidR="00581004" w:rsidRPr="00F30D39">
        <w:rPr>
          <w:szCs w:val="24"/>
        </w:rPr>
        <w:t xml:space="preserve"> or, worse still, unexplained conclusions</w:t>
      </w:r>
      <w:r w:rsidRPr="00F30D39">
        <w:rPr>
          <w:szCs w:val="24"/>
        </w:rPr>
        <w:t xml:space="preserve">. </w:t>
      </w:r>
      <w:r w:rsidR="004B76B1" w:rsidRPr="00F30D39">
        <w:rPr>
          <w:szCs w:val="24"/>
        </w:rPr>
        <w:t xml:space="preserve">In Class Counsel’s experience, describing an online store’s barriers in this manner </w:t>
      </w:r>
      <w:r w:rsidR="00995B70" w:rsidRPr="00F30D39">
        <w:rPr>
          <w:szCs w:val="24"/>
        </w:rPr>
        <w:t xml:space="preserve">is critical to getting </w:t>
      </w:r>
      <w:r w:rsidR="004B76B1" w:rsidRPr="00F30D39">
        <w:rPr>
          <w:szCs w:val="24"/>
        </w:rPr>
        <w:t>the parties</w:t>
      </w:r>
      <w:r w:rsidR="00CF4DAC" w:rsidRPr="00F30D39">
        <w:rPr>
          <w:szCs w:val="24"/>
        </w:rPr>
        <w:t xml:space="preserve">, </w:t>
      </w:r>
      <w:r w:rsidR="004B76B1" w:rsidRPr="00F30D39">
        <w:rPr>
          <w:szCs w:val="24"/>
        </w:rPr>
        <w:t>their counsel</w:t>
      </w:r>
      <w:r w:rsidR="00CF4DAC" w:rsidRPr="00F30D39">
        <w:rPr>
          <w:szCs w:val="24"/>
        </w:rPr>
        <w:t>, and the court</w:t>
      </w:r>
      <w:r w:rsidR="004B76B1" w:rsidRPr="00F30D39">
        <w:rPr>
          <w:szCs w:val="24"/>
        </w:rPr>
        <w:t xml:space="preserve"> on the same page, so focus can turn to remediation and expanding a company’s </w:t>
      </w:r>
      <w:r w:rsidR="0058326C" w:rsidRPr="00F30D39">
        <w:rPr>
          <w:szCs w:val="24"/>
        </w:rPr>
        <w:t xml:space="preserve">market </w:t>
      </w:r>
      <w:r w:rsidR="00581004" w:rsidRPr="00F30D39">
        <w:rPr>
          <w:szCs w:val="24"/>
        </w:rPr>
        <w:t xml:space="preserve">reach </w:t>
      </w:r>
      <w:r w:rsidR="004B76B1" w:rsidRPr="00F30D39">
        <w:rPr>
          <w:szCs w:val="24"/>
        </w:rPr>
        <w:t xml:space="preserve">to </w:t>
      </w:r>
      <w:r w:rsidR="00552671" w:rsidRPr="00F30D39">
        <w:rPr>
          <w:szCs w:val="24"/>
        </w:rPr>
        <w:t>millions of blind consumers who use screen reader</w:t>
      </w:r>
      <w:r w:rsidR="0058326C" w:rsidRPr="00F30D39">
        <w:rPr>
          <w:szCs w:val="24"/>
        </w:rPr>
        <w:t xml:space="preserve">s </w:t>
      </w:r>
      <w:r w:rsidR="00552671" w:rsidRPr="00F30D39">
        <w:rPr>
          <w:szCs w:val="24"/>
        </w:rPr>
        <w:t>to shop. In light of the</w:t>
      </w:r>
      <w:r w:rsidR="00581004" w:rsidRPr="00F30D39">
        <w:rPr>
          <w:szCs w:val="24"/>
        </w:rPr>
        <w:t xml:space="preserve"> unique</w:t>
      </w:r>
      <w:r w:rsidR="00552671" w:rsidRPr="00F30D39">
        <w:rPr>
          <w:szCs w:val="24"/>
        </w:rPr>
        <w:t xml:space="preserve"> intersection of Class Counsel’s litigation experience</w:t>
      </w:r>
      <w:r w:rsidR="00581004" w:rsidRPr="00F30D39">
        <w:rPr>
          <w:szCs w:val="24"/>
        </w:rPr>
        <w:t xml:space="preserve"> </w:t>
      </w:r>
      <w:r w:rsidR="00552671" w:rsidRPr="00F30D39">
        <w:rPr>
          <w:szCs w:val="24"/>
        </w:rPr>
        <w:t xml:space="preserve">and thoughtful approach, it is no surprise </w:t>
      </w:r>
      <w:r w:rsidR="00C86ECA" w:rsidRPr="00F30D39">
        <w:rPr>
          <w:szCs w:val="24"/>
        </w:rPr>
        <w:t>that</w:t>
      </w:r>
      <w:r w:rsidR="00552671" w:rsidRPr="00F30D39">
        <w:rPr>
          <w:szCs w:val="24"/>
        </w:rPr>
        <w:t xml:space="preserve"> the Agreement reached </w:t>
      </w:r>
      <w:r w:rsidR="00CF4DAC" w:rsidRPr="00F30D39">
        <w:rPr>
          <w:iCs/>
          <w:szCs w:val="24"/>
        </w:rPr>
        <w:t>is</w:t>
      </w:r>
      <w:r w:rsidR="0058326C" w:rsidRPr="00F30D39">
        <w:rPr>
          <w:iCs/>
          <w:szCs w:val="24"/>
        </w:rPr>
        <w:t xml:space="preserve"> similar to </w:t>
      </w:r>
      <w:r w:rsidR="00CF4DAC" w:rsidRPr="00F30D39">
        <w:rPr>
          <w:iCs/>
          <w:szCs w:val="24"/>
        </w:rPr>
        <w:t xml:space="preserve">the settlements approved in </w:t>
      </w:r>
      <w:r w:rsidR="0042421A" w:rsidRPr="00F30D39">
        <w:rPr>
          <w:i/>
          <w:szCs w:val="24"/>
        </w:rPr>
        <w:t>Eyebobs</w:t>
      </w:r>
      <w:r w:rsidR="0042421A" w:rsidRPr="00F30D39">
        <w:rPr>
          <w:iCs/>
          <w:szCs w:val="24"/>
        </w:rPr>
        <w:t xml:space="preserve">, </w:t>
      </w:r>
      <w:r w:rsidR="0042421A" w:rsidRPr="00F30D39">
        <w:rPr>
          <w:i/>
          <w:szCs w:val="24"/>
        </w:rPr>
        <w:t>Charles Tyrwhitt</w:t>
      </w:r>
      <w:r w:rsidR="0042421A" w:rsidRPr="00F30D39">
        <w:rPr>
          <w:iCs/>
          <w:szCs w:val="24"/>
        </w:rPr>
        <w:t xml:space="preserve">, </w:t>
      </w:r>
      <w:r w:rsidR="0042421A" w:rsidRPr="00F30D39">
        <w:rPr>
          <w:i/>
          <w:szCs w:val="24"/>
        </w:rPr>
        <w:t>Poly-Wood</w:t>
      </w:r>
      <w:r w:rsidR="0042421A" w:rsidRPr="00F30D39">
        <w:rPr>
          <w:iCs/>
          <w:szCs w:val="24"/>
        </w:rPr>
        <w:t xml:space="preserve">, </w:t>
      </w:r>
      <w:r w:rsidR="0042421A" w:rsidRPr="00F30D39">
        <w:rPr>
          <w:i/>
          <w:szCs w:val="24"/>
        </w:rPr>
        <w:t>The Hundreds</w:t>
      </w:r>
      <w:r w:rsidR="0042421A" w:rsidRPr="00F30D39">
        <w:rPr>
          <w:iCs/>
          <w:szCs w:val="24"/>
        </w:rPr>
        <w:t xml:space="preserve">, </w:t>
      </w:r>
      <w:r w:rsidR="0042421A" w:rsidRPr="00F30D39">
        <w:rPr>
          <w:i/>
          <w:szCs w:val="24"/>
        </w:rPr>
        <w:t>Optavia</w:t>
      </w:r>
      <w:r w:rsidR="0042421A" w:rsidRPr="00F30D39">
        <w:rPr>
          <w:iCs/>
          <w:szCs w:val="24"/>
        </w:rPr>
        <w:t xml:space="preserve">, </w:t>
      </w:r>
      <w:r w:rsidR="0042421A" w:rsidRPr="00F30D39">
        <w:rPr>
          <w:i/>
          <w:szCs w:val="24"/>
        </w:rPr>
        <w:t>P.C. Richard</w:t>
      </w:r>
      <w:r w:rsidR="0042421A" w:rsidRPr="00F30D39">
        <w:rPr>
          <w:iCs/>
          <w:szCs w:val="24"/>
        </w:rPr>
        <w:t xml:space="preserve">, and </w:t>
      </w:r>
      <w:r w:rsidR="00F30D39" w:rsidRPr="00F30D39">
        <w:rPr>
          <w:i/>
          <w:szCs w:val="24"/>
        </w:rPr>
        <w:t>Le Sportsac</w:t>
      </w:r>
      <w:r w:rsidR="00552671" w:rsidRPr="00F30D39">
        <w:rPr>
          <w:szCs w:val="24"/>
        </w:rPr>
        <w:t xml:space="preserve">. This factor supports the reasonableness of </w:t>
      </w:r>
      <w:r w:rsidR="00F30D39" w:rsidRPr="00F30D39">
        <w:rPr>
          <w:szCs w:val="24"/>
        </w:rPr>
        <w:t>the</w:t>
      </w:r>
      <w:r w:rsidR="00552671" w:rsidRPr="00F30D39">
        <w:rPr>
          <w:szCs w:val="24"/>
        </w:rPr>
        <w:t xml:space="preserve"> requested fee</w:t>
      </w:r>
      <w:r w:rsidR="00175736" w:rsidRPr="00F30D39">
        <w:rPr>
          <w:szCs w:val="24"/>
        </w:rPr>
        <w:t>s</w:t>
      </w:r>
      <w:r w:rsidR="00A346C1" w:rsidRPr="00F30D39">
        <w:rPr>
          <w:szCs w:val="24"/>
        </w:rPr>
        <w:t>.</w:t>
      </w:r>
    </w:p>
    <w:p w14:paraId="0EF8327A" w14:textId="2B267616" w:rsidR="00581004" w:rsidRPr="00FE39F8" w:rsidRDefault="00581004" w:rsidP="00E458A2">
      <w:pPr>
        <w:pStyle w:val="ListParagraph"/>
        <w:keepNext/>
        <w:numPr>
          <w:ilvl w:val="0"/>
          <w:numId w:val="13"/>
        </w:numPr>
        <w:spacing w:after="240"/>
        <w:ind w:left="2160" w:right="720" w:hanging="720"/>
        <w:contextualSpacing w:val="0"/>
        <w:jc w:val="both"/>
        <w:rPr>
          <w:b/>
          <w:bCs/>
          <w:szCs w:val="24"/>
        </w:rPr>
      </w:pPr>
      <w:r w:rsidRPr="00FE39F8">
        <w:rPr>
          <w:b/>
          <w:bCs/>
          <w:szCs w:val="24"/>
        </w:rPr>
        <w:lastRenderedPageBreak/>
        <w:t xml:space="preserve">The </w:t>
      </w:r>
      <w:r w:rsidR="00356A9D" w:rsidRPr="00FE39F8">
        <w:rPr>
          <w:b/>
          <w:bCs/>
          <w:szCs w:val="24"/>
        </w:rPr>
        <w:t>p</w:t>
      </w:r>
      <w:r w:rsidRPr="00FE39F8">
        <w:rPr>
          <w:b/>
          <w:bCs/>
          <w:szCs w:val="24"/>
        </w:rPr>
        <w:t xml:space="preserve">reclusion of </w:t>
      </w:r>
      <w:r w:rsidR="00356A9D" w:rsidRPr="00FE39F8">
        <w:rPr>
          <w:b/>
          <w:bCs/>
          <w:szCs w:val="24"/>
        </w:rPr>
        <w:t>a</w:t>
      </w:r>
      <w:r w:rsidRPr="00FE39F8">
        <w:rPr>
          <w:b/>
          <w:bCs/>
          <w:szCs w:val="24"/>
        </w:rPr>
        <w:t xml:space="preserve">lternative </w:t>
      </w:r>
      <w:r w:rsidR="00356A9D" w:rsidRPr="00FE39F8">
        <w:rPr>
          <w:b/>
          <w:bCs/>
          <w:szCs w:val="24"/>
        </w:rPr>
        <w:t>e</w:t>
      </w:r>
      <w:r w:rsidRPr="00FE39F8">
        <w:rPr>
          <w:b/>
          <w:bCs/>
          <w:szCs w:val="24"/>
        </w:rPr>
        <w:t>mployment</w:t>
      </w:r>
    </w:p>
    <w:p w14:paraId="694D4649" w14:textId="3C815B35" w:rsidR="00546E14" w:rsidRPr="00220E1F" w:rsidRDefault="00581004" w:rsidP="00B3601D">
      <w:pPr>
        <w:spacing w:line="480" w:lineRule="auto"/>
        <w:ind w:firstLine="720"/>
        <w:jc w:val="both"/>
        <w:rPr>
          <w:szCs w:val="24"/>
        </w:rPr>
      </w:pPr>
      <w:r w:rsidRPr="00FE39F8">
        <w:rPr>
          <w:szCs w:val="24"/>
        </w:rPr>
        <w:t>Work on one case means preclusion of work on a different matter. Class Counsel ha</w:t>
      </w:r>
      <w:r w:rsidR="00C86ECA" w:rsidRPr="00FE39F8">
        <w:rPr>
          <w:szCs w:val="24"/>
        </w:rPr>
        <w:t>ve</w:t>
      </w:r>
      <w:r w:rsidRPr="00FE39F8">
        <w:rPr>
          <w:szCs w:val="24"/>
        </w:rPr>
        <w:t xml:space="preserve"> several class action</w:t>
      </w:r>
      <w:r w:rsidR="0058326C" w:rsidRPr="00FE39F8">
        <w:rPr>
          <w:szCs w:val="24"/>
        </w:rPr>
        <w:t>s</w:t>
      </w:r>
      <w:r w:rsidRPr="00FE39F8">
        <w:rPr>
          <w:szCs w:val="24"/>
        </w:rPr>
        <w:t xml:space="preserve"> </w:t>
      </w:r>
      <w:r w:rsidR="00CB397F" w:rsidRPr="00FE39F8">
        <w:rPr>
          <w:szCs w:val="24"/>
        </w:rPr>
        <w:t xml:space="preserve">and other </w:t>
      </w:r>
      <w:r w:rsidRPr="00FE39F8">
        <w:rPr>
          <w:szCs w:val="24"/>
        </w:rPr>
        <w:t xml:space="preserve">cases </w:t>
      </w:r>
      <w:r w:rsidR="00CB397F" w:rsidRPr="00FE39F8">
        <w:rPr>
          <w:szCs w:val="24"/>
        </w:rPr>
        <w:t xml:space="preserve">pending in this </w:t>
      </w:r>
      <w:r w:rsidR="00A5695A">
        <w:rPr>
          <w:szCs w:val="24"/>
        </w:rPr>
        <w:t>D</w:t>
      </w:r>
      <w:r w:rsidR="00CB397F" w:rsidRPr="00FE39F8">
        <w:rPr>
          <w:szCs w:val="24"/>
        </w:rPr>
        <w:t xml:space="preserve">istrict, state court, and on appeal. Each case requires </w:t>
      </w:r>
      <w:r w:rsidRPr="00FE39F8">
        <w:rPr>
          <w:szCs w:val="24"/>
        </w:rPr>
        <w:t>significant skill, attention</w:t>
      </w:r>
      <w:r w:rsidR="00BE31BB" w:rsidRPr="00FE39F8">
        <w:rPr>
          <w:szCs w:val="24"/>
        </w:rPr>
        <w:t>,</w:t>
      </w:r>
      <w:r w:rsidRPr="00FE39F8">
        <w:rPr>
          <w:szCs w:val="24"/>
        </w:rPr>
        <w:t xml:space="preserve"> and work. Deciding to pursue this case as a class action</w:t>
      </w:r>
      <w:r w:rsidR="00CB397F" w:rsidRPr="00FE39F8">
        <w:rPr>
          <w:szCs w:val="24"/>
        </w:rPr>
        <w:t xml:space="preserve">—knowing the lodestar would </w:t>
      </w:r>
      <w:r w:rsidR="00FE39F8" w:rsidRPr="00FE39F8">
        <w:rPr>
          <w:szCs w:val="24"/>
        </w:rPr>
        <w:t>likely</w:t>
      </w:r>
      <w:r w:rsidR="00CB397F" w:rsidRPr="00FE39F8">
        <w:rPr>
          <w:szCs w:val="24"/>
        </w:rPr>
        <w:t xml:space="preserve"> exceed the fees requested—</w:t>
      </w:r>
      <w:r w:rsidRPr="00FE39F8">
        <w:rPr>
          <w:szCs w:val="24"/>
        </w:rPr>
        <w:t xml:space="preserve">required a decision by </w:t>
      </w:r>
      <w:r w:rsidR="00CB397F" w:rsidRPr="00FE39F8">
        <w:rPr>
          <w:szCs w:val="24"/>
        </w:rPr>
        <w:t>Class Counsel to put</w:t>
      </w:r>
      <w:r w:rsidRPr="00FE39F8">
        <w:rPr>
          <w:szCs w:val="24"/>
        </w:rPr>
        <w:t xml:space="preserve"> time and money on the line, to the exclusion of other work. This factor supports the reasonableness of the </w:t>
      </w:r>
      <w:r w:rsidR="00BE31BB" w:rsidRPr="00220E1F">
        <w:rPr>
          <w:szCs w:val="24"/>
        </w:rPr>
        <w:t>requested fees</w:t>
      </w:r>
      <w:r w:rsidRPr="00220E1F">
        <w:rPr>
          <w:szCs w:val="24"/>
        </w:rPr>
        <w:t>.</w:t>
      </w:r>
    </w:p>
    <w:p w14:paraId="4A178577" w14:textId="54240149" w:rsidR="00CB397F" w:rsidRPr="00220E1F" w:rsidRDefault="00CB397F" w:rsidP="00E458A2">
      <w:pPr>
        <w:pStyle w:val="ListParagraph"/>
        <w:keepNext/>
        <w:numPr>
          <w:ilvl w:val="0"/>
          <w:numId w:val="13"/>
        </w:numPr>
        <w:spacing w:after="240"/>
        <w:ind w:left="2160" w:right="720" w:hanging="720"/>
        <w:contextualSpacing w:val="0"/>
        <w:rPr>
          <w:b/>
          <w:bCs/>
          <w:szCs w:val="24"/>
        </w:rPr>
      </w:pPr>
      <w:r w:rsidRPr="00220E1F">
        <w:rPr>
          <w:b/>
          <w:bCs/>
          <w:szCs w:val="24"/>
        </w:rPr>
        <w:t xml:space="preserve">The </w:t>
      </w:r>
      <w:r w:rsidR="00356A9D" w:rsidRPr="00220E1F">
        <w:rPr>
          <w:b/>
          <w:bCs/>
          <w:szCs w:val="24"/>
        </w:rPr>
        <w:t>c</w:t>
      </w:r>
      <w:r w:rsidRPr="00220E1F">
        <w:rPr>
          <w:b/>
          <w:bCs/>
          <w:szCs w:val="24"/>
        </w:rPr>
        <w:t xml:space="preserve">ustomary </w:t>
      </w:r>
      <w:r w:rsidR="00356A9D" w:rsidRPr="00220E1F">
        <w:rPr>
          <w:b/>
          <w:bCs/>
          <w:szCs w:val="24"/>
        </w:rPr>
        <w:t>f</w:t>
      </w:r>
      <w:r w:rsidRPr="00220E1F">
        <w:rPr>
          <w:b/>
          <w:bCs/>
          <w:szCs w:val="24"/>
        </w:rPr>
        <w:t xml:space="preserve">ee for </w:t>
      </w:r>
      <w:r w:rsidR="00356A9D" w:rsidRPr="00220E1F">
        <w:rPr>
          <w:b/>
          <w:bCs/>
          <w:szCs w:val="24"/>
        </w:rPr>
        <w:t>s</w:t>
      </w:r>
      <w:r w:rsidRPr="00220E1F">
        <w:rPr>
          <w:b/>
          <w:bCs/>
          <w:szCs w:val="24"/>
        </w:rPr>
        <w:t xml:space="preserve">imilar </w:t>
      </w:r>
      <w:r w:rsidR="00356A9D" w:rsidRPr="00220E1F">
        <w:rPr>
          <w:b/>
          <w:bCs/>
          <w:szCs w:val="24"/>
        </w:rPr>
        <w:t>w</w:t>
      </w:r>
      <w:r w:rsidRPr="00220E1F">
        <w:rPr>
          <w:b/>
          <w:bCs/>
          <w:szCs w:val="24"/>
        </w:rPr>
        <w:t xml:space="preserve">ork and </w:t>
      </w:r>
      <w:r w:rsidR="00356A9D" w:rsidRPr="00220E1F">
        <w:rPr>
          <w:b/>
          <w:bCs/>
          <w:szCs w:val="24"/>
        </w:rPr>
        <w:t>w</w:t>
      </w:r>
      <w:r w:rsidRPr="00220E1F">
        <w:rPr>
          <w:b/>
          <w:bCs/>
          <w:szCs w:val="24"/>
        </w:rPr>
        <w:t xml:space="preserve">hether the </w:t>
      </w:r>
      <w:r w:rsidR="00356A9D" w:rsidRPr="00220E1F">
        <w:rPr>
          <w:b/>
          <w:bCs/>
          <w:szCs w:val="24"/>
        </w:rPr>
        <w:t>f</w:t>
      </w:r>
      <w:r w:rsidRPr="00220E1F">
        <w:rPr>
          <w:b/>
          <w:bCs/>
          <w:szCs w:val="24"/>
        </w:rPr>
        <w:t xml:space="preserve">ee is </w:t>
      </w:r>
      <w:r w:rsidR="00356A9D" w:rsidRPr="00220E1F">
        <w:rPr>
          <w:b/>
          <w:bCs/>
          <w:szCs w:val="24"/>
        </w:rPr>
        <w:t>f</w:t>
      </w:r>
      <w:r w:rsidRPr="00220E1F">
        <w:rPr>
          <w:b/>
          <w:bCs/>
          <w:szCs w:val="24"/>
        </w:rPr>
        <w:t xml:space="preserve">ixed or </w:t>
      </w:r>
      <w:r w:rsidR="00356A9D" w:rsidRPr="00220E1F">
        <w:rPr>
          <w:b/>
          <w:bCs/>
          <w:szCs w:val="24"/>
        </w:rPr>
        <w:t>c</w:t>
      </w:r>
      <w:r w:rsidRPr="00220E1F">
        <w:rPr>
          <w:b/>
          <w:bCs/>
          <w:szCs w:val="24"/>
        </w:rPr>
        <w:t>ontingent</w:t>
      </w:r>
    </w:p>
    <w:p w14:paraId="00EAC86C" w14:textId="46DAE666" w:rsidR="00CB397F" w:rsidRPr="00316AA6" w:rsidRDefault="00CB397F" w:rsidP="0058326C">
      <w:pPr>
        <w:spacing w:line="480" w:lineRule="auto"/>
        <w:ind w:firstLine="720"/>
        <w:jc w:val="both"/>
        <w:rPr>
          <w:szCs w:val="24"/>
        </w:rPr>
      </w:pPr>
      <w:r w:rsidRPr="00220E1F">
        <w:rPr>
          <w:szCs w:val="24"/>
        </w:rPr>
        <w:t xml:space="preserve">The customary fee in an ADA case is the reasonable fee set forth in </w:t>
      </w:r>
      <w:r w:rsidR="00F07BA4" w:rsidRPr="00220E1F">
        <w:rPr>
          <w:szCs w:val="24"/>
        </w:rPr>
        <w:t>42 U.S.C. § 12205</w:t>
      </w:r>
      <w:r w:rsidR="00A07242" w:rsidRPr="00220E1F">
        <w:rPr>
          <w:szCs w:val="24"/>
        </w:rPr>
        <w:fldChar w:fldCharType="begin"/>
      </w:r>
      <w:r w:rsidR="00A07242" w:rsidRPr="00220E1F">
        <w:rPr>
          <w:szCs w:val="24"/>
        </w:rPr>
        <w:instrText xml:space="preserve"> TA \s "42 U.S.C. § 12205" </w:instrText>
      </w:r>
      <w:r w:rsidR="00A07242" w:rsidRPr="00220E1F">
        <w:rPr>
          <w:szCs w:val="24"/>
        </w:rPr>
        <w:fldChar w:fldCharType="end"/>
      </w:r>
      <w:r w:rsidR="00F07BA4" w:rsidRPr="00220E1F">
        <w:rPr>
          <w:szCs w:val="24"/>
        </w:rPr>
        <w:t xml:space="preserve"> and 28 C</w:t>
      </w:r>
      <w:r w:rsidR="00361541" w:rsidRPr="00220E1F">
        <w:rPr>
          <w:szCs w:val="24"/>
        </w:rPr>
        <w:t>.</w:t>
      </w:r>
      <w:r w:rsidR="00F07BA4" w:rsidRPr="00220E1F">
        <w:rPr>
          <w:szCs w:val="24"/>
        </w:rPr>
        <w:t>F</w:t>
      </w:r>
      <w:r w:rsidR="00361541" w:rsidRPr="00220E1F">
        <w:rPr>
          <w:szCs w:val="24"/>
        </w:rPr>
        <w:t>.</w:t>
      </w:r>
      <w:r w:rsidR="00F07BA4" w:rsidRPr="00220E1F">
        <w:rPr>
          <w:szCs w:val="24"/>
        </w:rPr>
        <w:t>R</w:t>
      </w:r>
      <w:r w:rsidR="00361541" w:rsidRPr="00220E1F">
        <w:rPr>
          <w:szCs w:val="24"/>
        </w:rPr>
        <w:t>.</w:t>
      </w:r>
      <w:r w:rsidR="00F07BA4" w:rsidRPr="00220E1F">
        <w:rPr>
          <w:szCs w:val="24"/>
        </w:rPr>
        <w:t xml:space="preserve"> §</w:t>
      </w:r>
      <w:r w:rsidR="0010674D" w:rsidRPr="00220E1F">
        <w:rPr>
          <w:szCs w:val="24"/>
        </w:rPr>
        <w:t xml:space="preserve"> </w:t>
      </w:r>
      <w:r w:rsidR="00F07BA4" w:rsidRPr="00220E1F">
        <w:rPr>
          <w:szCs w:val="24"/>
        </w:rPr>
        <w:t>36.505</w:t>
      </w:r>
      <w:r w:rsidR="00A07242" w:rsidRPr="00220E1F">
        <w:rPr>
          <w:szCs w:val="24"/>
        </w:rPr>
        <w:fldChar w:fldCharType="begin"/>
      </w:r>
      <w:r w:rsidR="00A07242" w:rsidRPr="00220E1F">
        <w:rPr>
          <w:szCs w:val="24"/>
        </w:rPr>
        <w:instrText xml:space="preserve"> TA \s "28 CFR § 36.505" </w:instrText>
      </w:r>
      <w:r w:rsidR="00A07242" w:rsidRPr="00220E1F">
        <w:rPr>
          <w:szCs w:val="24"/>
        </w:rPr>
        <w:fldChar w:fldCharType="end"/>
      </w:r>
      <w:r w:rsidR="00F07BA4" w:rsidRPr="00220E1F">
        <w:rPr>
          <w:szCs w:val="24"/>
        </w:rPr>
        <w:t xml:space="preserve">, or </w:t>
      </w:r>
      <w:r w:rsidRPr="00220E1F">
        <w:rPr>
          <w:szCs w:val="24"/>
        </w:rPr>
        <w:t>Plaintiff</w:t>
      </w:r>
      <w:r w:rsidR="00F07BA4" w:rsidRPr="00220E1F">
        <w:rPr>
          <w:szCs w:val="24"/>
        </w:rPr>
        <w:t>’</w:t>
      </w:r>
      <w:r w:rsidR="004C72E7" w:rsidRPr="00220E1F">
        <w:rPr>
          <w:szCs w:val="24"/>
        </w:rPr>
        <w:t>s</w:t>
      </w:r>
      <w:r w:rsidRPr="00220E1F">
        <w:rPr>
          <w:szCs w:val="24"/>
        </w:rPr>
        <w:t xml:space="preserve"> </w:t>
      </w:r>
      <w:r w:rsidR="00F07BA4" w:rsidRPr="00220E1F">
        <w:rPr>
          <w:szCs w:val="24"/>
        </w:rPr>
        <w:t>lodestar</w:t>
      </w:r>
      <w:r w:rsidRPr="00220E1F">
        <w:rPr>
          <w:szCs w:val="24"/>
        </w:rPr>
        <w:t>.</w:t>
      </w:r>
      <w:r w:rsidR="0058326C" w:rsidRPr="00220E1F">
        <w:rPr>
          <w:szCs w:val="24"/>
        </w:rPr>
        <w:t xml:space="preserve"> </w:t>
      </w:r>
      <w:r w:rsidRPr="00220E1F">
        <w:rPr>
          <w:szCs w:val="24"/>
        </w:rPr>
        <w:t xml:space="preserve">In this case, and in similar cases filed under the </w:t>
      </w:r>
      <w:r w:rsidR="00F07BA4" w:rsidRPr="00220E1F">
        <w:rPr>
          <w:szCs w:val="24"/>
        </w:rPr>
        <w:t>ADA</w:t>
      </w:r>
      <w:r w:rsidRPr="00220E1F">
        <w:rPr>
          <w:szCs w:val="24"/>
        </w:rPr>
        <w:t xml:space="preserve">, </w:t>
      </w:r>
      <w:r w:rsidR="00361541" w:rsidRPr="00220E1F">
        <w:rPr>
          <w:szCs w:val="24"/>
        </w:rPr>
        <w:t>only injunctive relief is available</w:t>
      </w:r>
      <w:r w:rsidRPr="00220E1F">
        <w:rPr>
          <w:szCs w:val="24"/>
        </w:rPr>
        <w:t>.</w:t>
      </w:r>
      <w:r w:rsidR="00F07BA4" w:rsidRPr="00220E1F">
        <w:rPr>
          <w:szCs w:val="24"/>
        </w:rPr>
        <w:t xml:space="preserve"> </w:t>
      </w:r>
      <w:r w:rsidR="00361541" w:rsidRPr="00220E1F">
        <w:rPr>
          <w:szCs w:val="24"/>
        </w:rPr>
        <w:t>D</w:t>
      </w:r>
      <w:r w:rsidR="00F07BA4" w:rsidRPr="00220E1F">
        <w:rPr>
          <w:szCs w:val="24"/>
        </w:rPr>
        <w:t xml:space="preserve">amages </w:t>
      </w:r>
      <w:r w:rsidR="00361541" w:rsidRPr="00220E1F">
        <w:rPr>
          <w:szCs w:val="24"/>
        </w:rPr>
        <w:t xml:space="preserve">are not </w:t>
      </w:r>
      <w:r w:rsidR="00F07BA4" w:rsidRPr="00220E1F">
        <w:rPr>
          <w:szCs w:val="24"/>
        </w:rPr>
        <w:t xml:space="preserve">available under the ADA. </w:t>
      </w:r>
      <w:r w:rsidRPr="00220E1F">
        <w:rPr>
          <w:szCs w:val="24"/>
        </w:rPr>
        <w:t xml:space="preserve">Therefore, </w:t>
      </w:r>
      <w:r w:rsidR="00F07BA4" w:rsidRPr="00220E1F">
        <w:rPr>
          <w:szCs w:val="24"/>
        </w:rPr>
        <w:t xml:space="preserve">in most cases, </w:t>
      </w:r>
      <w:r w:rsidRPr="00220E1F">
        <w:rPr>
          <w:szCs w:val="24"/>
        </w:rPr>
        <w:t>it is not feasible for a client to pay a lawyer an hourly rate to prosecute a</w:t>
      </w:r>
      <w:r w:rsidR="00F07BA4" w:rsidRPr="00220E1F">
        <w:rPr>
          <w:szCs w:val="24"/>
        </w:rPr>
        <w:t>n ADA</w:t>
      </w:r>
      <w:r w:rsidRPr="00220E1F">
        <w:rPr>
          <w:szCs w:val="24"/>
        </w:rPr>
        <w:t xml:space="preserve"> case</w:t>
      </w:r>
      <w:r w:rsidR="00361541" w:rsidRPr="00220E1F">
        <w:rPr>
          <w:szCs w:val="24"/>
        </w:rPr>
        <w:t>,</w:t>
      </w:r>
      <w:r w:rsidRPr="00220E1F">
        <w:rPr>
          <w:szCs w:val="24"/>
        </w:rPr>
        <w:t xml:space="preserve"> and</w:t>
      </w:r>
      <w:r w:rsidR="00F07BA4" w:rsidRPr="00220E1F">
        <w:rPr>
          <w:szCs w:val="24"/>
        </w:rPr>
        <w:t xml:space="preserve"> </w:t>
      </w:r>
      <w:r w:rsidRPr="00220E1F">
        <w:rPr>
          <w:szCs w:val="24"/>
        </w:rPr>
        <w:t>compensation is entirely contingent on a successful outcome</w:t>
      </w:r>
      <w:r w:rsidR="00F07BA4" w:rsidRPr="00220E1F">
        <w:rPr>
          <w:szCs w:val="24"/>
        </w:rPr>
        <w:t xml:space="preserve"> </w:t>
      </w:r>
      <w:r w:rsidR="00361541" w:rsidRPr="00220E1F">
        <w:rPr>
          <w:szCs w:val="24"/>
        </w:rPr>
        <w:t>affording</w:t>
      </w:r>
      <w:r w:rsidR="00F07BA4" w:rsidRPr="00220E1F">
        <w:rPr>
          <w:szCs w:val="24"/>
        </w:rPr>
        <w:t xml:space="preserve"> “prevailing party” status</w:t>
      </w:r>
      <w:r w:rsidRPr="00220E1F">
        <w:rPr>
          <w:szCs w:val="24"/>
        </w:rPr>
        <w:t>. Plaintiff’s counsel, in this and</w:t>
      </w:r>
      <w:r w:rsidR="00F07BA4" w:rsidRPr="00220E1F">
        <w:rPr>
          <w:szCs w:val="24"/>
        </w:rPr>
        <w:t xml:space="preserve"> </w:t>
      </w:r>
      <w:r w:rsidRPr="00220E1F">
        <w:rPr>
          <w:szCs w:val="24"/>
        </w:rPr>
        <w:t xml:space="preserve">similar cases, are paid only when the plaintiff and </w:t>
      </w:r>
      <w:r w:rsidR="00361541" w:rsidRPr="00220E1F">
        <w:rPr>
          <w:szCs w:val="24"/>
        </w:rPr>
        <w:t xml:space="preserve">the </w:t>
      </w:r>
      <w:r w:rsidRPr="00220E1F">
        <w:rPr>
          <w:szCs w:val="24"/>
        </w:rPr>
        <w:t>class prevail. This factor supports the</w:t>
      </w:r>
      <w:r w:rsidR="00F07BA4" w:rsidRPr="00220E1F">
        <w:rPr>
          <w:szCs w:val="24"/>
        </w:rPr>
        <w:t xml:space="preserve"> </w:t>
      </w:r>
      <w:r w:rsidRPr="00316AA6">
        <w:rPr>
          <w:szCs w:val="24"/>
        </w:rPr>
        <w:t>reasonableness of the</w:t>
      </w:r>
      <w:r w:rsidR="00361541" w:rsidRPr="00316AA6">
        <w:rPr>
          <w:szCs w:val="24"/>
        </w:rPr>
        <w:t xml:space="preserve"> requested</w:t>
      </w:r>
      <w:r w:rsidRPr="00316AA6">
        <w:rPr>
          <w:szCs w:val="24"/>
        </w:rPr>
        <w:t xml:space="preserve"> fee</w:t>
      </w:r>
      <w:r w:rsidR="00361541" w:rsidRPr="00316AA6">
        <w:rPr>
          <w:szCs w:val="24"/>
        </w:rPr>
        <w:t>s</w:t>
      </w:r>
      <w:r w:rsidRPr="00316AA6">
        <w:rPr>
          <w:szCs w:val="24"/>
        </w:rPr>
        <w:t>.</w:t>
      </w:r>
    </w:p>
    <w:p w14:paraId="78C0D823" w14:textId="357ECCFD" w:rsidR="00F07BA4" w:rsidRPr="00316AA6" w:rsidRDefault="00F07BA4" w:rsidP="00E458A2">
      <w:pPr>
        <w:pStyle w:val="ListParagraph"/>
        <w:keepNext/>
        <w:numPr>
          <w:ilvl w:val="0"/>
          <w:numId w:val="13"/>
        </w:numPr>
        <w:spacing w:after="240"/>
        <w:ind w:left="2160" w:right="720" w:hanging="720"/>
        <w:contextualSpacing w:val="0"/>
        <w:jc w:val="both"/>
        <w:rPr>
          <w:b/>
          <w:bCs/>
          <w:szCs w:val="24"/>
        </w:rPr>
      </w:pPr>
      <w:r w:rsidRPr="00316AA6">
        <w:rPr>
          <w:b/>
          <w:bCs/>
          <w:szCs w:val="24"/>
        </w:rPr>
        <w:t xml:space="preserve">Time </w:t>
      </w:r>
      <w:r w:rsidR="00356A9D" w:rsidRPr="00316AA6">
        <w:rPr>
          <w:b/>
          <w:bCs/>
          <w:szCs w:val="24"/>
        </w:rPr>
        <w:t>l</w:t>
      </w:r>
      <w:r w:rsidRPr="00316AA6">
        <w:rPr>
          <w:b/>
          <w:bCs/>
          <w:szCs w:val="24"/>
        </w:rPr>
        <w:t xml:space="preserve">imitations </w:t>
      </w:r>
      <w:r w:rsidR="00356A9D" w:rsidRPr="00316AA6">
        <w:rPr>
          <w:b/>
          <w:bCs/>
          <w:szCs w:val="24"/>
        </w:rPr>
        <w:t>p</w:t>
      </w:r>
      <w:r w:rsidRPr="00316AA6">
        <w:rPr>
          <w:b/>
          <w:bCs/>
          <w:szCs w:val="24"/>
        </w:rPr>
        <w:t xml:space="preserve">osed by </w:t>
      </w:r>
      <w:r w:rsidR="00C61B47" w:rsidRPr="00316AA6">
        <w:rPr>
          <w:b/>
          <w:bCs/>
          <w:szCs w:val="24"/>
        </w:rPr>
        <w:t xml:space="preserve">the </w:t>
      </w:r>
      <w:r w:rsidR="00356A9D" w:rsidRPr="00316AA6">
        <w:rPr>
          <w:b/>
          <w:bCs/>
          <w:szCs w:val="24"/>
        </w:rPr>
        <w:t>c</w:t>
      </w:r>
      <w:r w:rsidRPr="00316AA6">
        <w:rPr>
          <w:b/>
          <w:bCs/>
          <w:szCs w:val="24"/>
        </w:rPr>
        <w:t xml:space="preserve">lient </w:t>
      </w:r>
      <w:r w:rsidR="00C61B47" w:rsidRPr="00316AA6">
        <w:rPr>
          <w:b/>
          <w:bCs/>
          <w:szCs w:val="24"/>
        </w:rPr>
        <w:t xml:space="preserve">or </w:t>
      </w:r>
      <w:r w:rsidR="00356A9D" w:rsidRPr="00316AA6">
        <w:rPr>
          <w:b/>
          <w:bCs/>
          <w:szCs w:val="24"/>
        </w:rPr>
        <w:t>c</w:t>
      </w:r>
      <w:r w:rsidRPr="00316AA6">
        <w:rPr>
          <w:b/>
          <w:bCs/>
          <w:szCs w:val="24"/>
        </w:rPr>
        <w:t>ircumstances</w:t>
      </w:r>
    </w:p>
    <w:p w14:paraId="32BF9AE0" w14:textId="5C9BF9A4" w:rsidR="00F07BA4" w:rsidRPr="00316AA6" w:rsidRDefault="00756B8A" w:rsidP="00B3601D">
      <w:pPr>
        <w:spacing w:line="480" w:lineRule="auto"/>
        <w:ind w:firstLine="720"/>
        <w:jc w:val="both"/>
        <w:rPr>
          <w:szCs w:val="24"/>
        </w:rPr>
      </w:pPr>
      <w:r w:rsidRPr="00316AA6">
        <w:rPr>
          <w:szCs w:val="24"/>
        </w:rPr>
        <w:t xml:space="preserve">Every day </w:t>
      </w:r>
      <w:r w:rsidR="00CF4DAC" w:rsidRPr="00316AA6">
        <w:rPr>
          <w:szCs w:val="24"/>
        </w:rPr>
        <w:t>that Defendant’s</w:t>
      </w:r>
      <w:r w:rsidR="004C72E7" w:rsidRPr="00316AA6">
        <w:rPr>
          <w:szCs w:val="24"/>
        </w:rPr>
        <w:t xml:space="preserve"> </w:t>
      </w:r>
      <w:r w:rsidRPr="00316AA6">
        <w:rPr>
          <w:szCs w:val="24"/>
        </w:rPr>
        <w:t>online store</w:t>
      </w:r>
      <w:r w:rsidR="00316AA6" w:rsidRPr="00316AA6">
        <w:rPr>
          <w:szCs w:val="24"/>
        </w:rPr>
        <w:t>s</w:t>
      </w:r>
      <w:r w:rsidRPr="00316AA6">
        <w:rPr>
          <w:szCs w:val="24"/>
        </w:rPr>
        <w:t xml:space="preserve"> remain </w:t>
      </w:r>
      <w:r w:rsidR="007C2398" w:rsidRPr="00316AA6">
        <w:rPr>
          <w:szCs w:val="24"/>
        </w:rPr>
        <w:t>incompatible with</w:t>
      </w:r>
      <w:r w:rsidRPr="00316AA6">
        <w:rPr>
          <w:szCs w:val="24"/>
        </w:rPr>
        <w:t xml:space="preserve"> screen reader auxiliary aids is another day in which </w:t>
      </w:r>
      <w:r w:rsidR="006C6280" w:rsidRPr="00316AA6">
        <w:rPr>
          <w:szCs w:val="24"/>
        </w:rPr>
        <w:t xml:space="preserve">Settlement </w:t>
      </w:r>
      <w:r w:rsidRPr="00316AA6">
        <w:rPr>
          <w:szCs w:val="24"/>
        </w:rPr>
        <w:t xml:space="preserve">Class Members are denied </w:t>
      </w:r>
      <w:r w:rsidR="009F270A" w:rsidRPr="00316AA6">
        <w:rPr>
          <w:szCs w:val="24"/>
        </w:rPr>
        <w:t xml:space="preserve">full and equal </w:t>
      </w:r>
      <w:r w:rsidRPr="00316AA6">
        <w:rPr>
          <w:szCs w:val="24"/>
        </w:rPr>
        <w:t xml:space="preserve">access to </w:t>
      </w:r>
      <w:r w:rsidR="00CF4DAC" w:rsidRPr="00316AA6">
        <w:rPr>
          <w:szCs w:val="24"/>
        </w:rPr>
        <w:t>Defendant’s</w:t>
      </w:r>
      <w:r w:rsidR="00916F3D" w:rsidRPr="00316AA6">
        <w:rPr>
          <w:szCs w:val="24"/>
        </w:rPr>
        <w:t xml:space="preserve"> </w:t>
      </w:r>
      <w:r w:rsidR="00B7312D" w:rsidRPr="00316AA6">
        <w:rPr>
          <w:szCs w:val="24"/>
        </w:rPr>
        <w:t>good</w:t>
      </w:r>
      <w:r w:rsidRPr="00316AA6">
        <w:rPr>
          <w:szCs w:val="24"/>
        </w:rPr>
        <w:t>s and services. These “closed doors</w:t>
      </w:r>
      <w:r w:rsidR="009F270A" w:rsidRPr="00316AA6">
        <w:rPr>
          <w:szCs w:val="24"/>
        </w:rPr>
        <w:t>,</w:t>
      </w:r>
      <w:r w:rsidRPr="00316AA6">
        <w:rPr>
          <w:szCs w:val="24"/>
        </w:rPr>
        <w:t xml:space="preserve">” and those of other </w:t>
      </w:r>
      <w:r w:rsidR="009F270A" w:rsidRPr="00316AA6">
        <w:rPr>
          <w:szCs w:val="24"/>
        </w:rPr>
        <w:t>retailers</w:t>
      </w:r>
      <w:r w:rsidRPr="00316AA6">
        <w:rPr>
          <w:szCs w:val="24"/>
        </w:rPr>
        <w:t>, limit</w:t>
      </w:r>
      <w:r w:rsidR="009F270A" w:rsidRPr="00316AA6">
        <w:rPr>
          <w:szCs w:val="24"/>
        </w:rPr>
        <w:t xml:space="preserve"> </w:t>
      </w:r>
      <w:r w:rsidR="006C6280" w:rsidRPr="00316AA6">
        <w:rPr>
          <w:szCs w:val="24"/>
        </w:rPr>
        <w:t xml:space="preserve">Settlement </w:t>
      </w:r>
      <w:r w:rsidR="009F270A" w:rsidRPr="00316AA6">
        <w:rPr>
          <w:szCs w:val="24"/>
        </w:rPr>
        <w:t xml:space="preserve">Class Members to a fraction of an increasingly digital marketplace that is freely available </w:t>
      </w:r>
      <w:r w:rsidR="00C86ECA" w:rsidRPr="00316AA6">
        <w:rPr>
          <w:szCs w:val="24"/>
        </w:rPr>
        <w:t>to</w:t>
      </w:r>
      <w:r w:rsidR="009F270A" w:rsidRPr="00316AA6">
        <w:rPr>
          <w:szCs w:val="24"/>
        </w:rPr>
        <w:t xml:space="preserve"> consumers who do not require modest accommodations to shop online. The time is now to make this marketplace accessible to all consumers, and </w:t>
      </w:r>
      <w:r w:rsidR="00CE3271" w:rsidRPr="00316AA6">
        <w:rPr>
          <w:szCs w:val="24"/>
        </w:rPr>
        <w:t>the work of Class Counsel is a meaningful step in that direction. These circumstances support the requested fee</w:t>
      </w:r>
      <w:r w:rsidR="00B7312D" w:rsidRPr="00316AA6">
        <w:rPr>
          <w:szCs w:val="24"/>
        </w:rPr>
        <w:t>s</w:t>
      </w:r>
      <w:r w:rsidR="00CE3271" w:rsidRPr="00316AA6">
        <w:rPr>
          <w:szCs w:val="24"/>
        </w:rPr>
        <w:t>.</w:t>
      </w:r>
    </w:p>
    <w:p w14:paraId="4B327638" w14:textId="62931FA9" w:rsidR="00CE3271" w:rsidRPr="0007526A" w:rsidRDefault="00CE3271" w:rsidP="00E458A2">
      <w:pPr>
        <w:pStyle w:val="ListParagraph"/>
        <w:keepNext/>
        <w:numPr>
          <w:ilvl w:val="0"/>
          <w:numId w:val="13"/>
        </w:numPr>
        <w:spacing w:after="240"/>
        <w:ind w:left="2160" w:right="720" w:hanging="720"/>
        <w:contextualSpacing w:val="0"/>
        <w:jc w:val="both"/>
        <w:rPr>
          <w:b/>
          <w:bCs/>
          <w:szCs w:val="24"/>
        </w:rPr>
      </w:pPr>
      <w:r w:rsidRPr="0007526A">
        <w:rPr>
          <w:b/>
          <w:bCs/>
          <w:szCs w:val="24"/>
        </w:rPr>
        <w:lastRenderedPageBreak/>
        <w:t xml:space="preserve">The </w:t>
      </w:r>
      <w:r w:rsidR="00356A9D" w:rsidRPr="0007526A">
        <w:rPr>
          <w:b/>
          <w:bCs/>
          <w:szCs w:val="24"/>
        </w:rPr>
        <w:t>a</w:t>
      </w:r>
      <w:r w:rsidRPr="0007526A">
        <w:rPr>
          <w:b/>
          <w:bCs/>
          <w:szCs w:val="24"/>
        </w:rPr>
        <w:t xml:space="preserve">mount </w:t>
      </w:r>
      <w:r w:rsidR="00356A9D" w:rsidRPr="0007526A">
        <w:rPr>
          <w:b/>
          <w:bCs/>
          <w:szCs w:val="24"/>
        </w:rPr>
        <w:t>i</w:t>
      </w:r>
      <w:r w:rsidRPr="0007526A">
        <w:rPr>
          <w:b/>
          <w:bCs/>
          <w:szCs w:val="24"/>
        </w:rPr>
        <w:t xml:space="preserve">nvolved and the </w:t>
      </w:r>
      <w:r w:rsidR="00356A9D" w:rsidRPr="0007526A">
        <w:rPr>
          <w:b/>
          <w:bCs/>
          <w:szCs w:val="24"/>
        </w:rPr>
        <w:t>r</w:t>
      </w:r>
      <w:r w:rsidRPr="0007526A">
        <w:rPr>
          <w:b/>
          <w:bCs/>
          <w:szCs w:val="24"/>
        </w:rPr>
        <w:t xml:space="preserve">esults </w:t>
      </w:r>
      <w:r w:rsidR="00356A9D" w:rsidRPr="0007526A">
        <w:rPr>
          <w:b/>
          <w:bCs/>
          <w:szCs w:val="24"/>
        </w:rPr>
        <w:t>o</w:t>
      </w:r>
      <w:r w:rsidRPr="0007526A">
        <w:rPr>
          <w:b/>
          <w:bCs/>
          <w:szCs w:val="24"/>
        </w:rPr>
        <w:t>btained</w:t>
      </w:r>
    </w:p>
    <w:p w14:paraId="6FEC0CD2" w14:textId="7419F1E2" w:rsidR="001E4EA5" w:rsidRPr="009B4A35" w:rsidRDefault="00CE3271" w:rsidP="00B3601D">
      <w:pPr>
        <w:spacing w:line="480" w:lineRule="auto"/>
        <w:ind w:firstLine="720"/>
        <w:jc w:val="both"/>
        <w:rPr>
          <w:szCs w:val="24"/>
        </w:rPr>
      </w:pPr>
      <w:r w:rsidRPr="0007526A">
        <w:rPr>
          <w:szCs w:val="24"/>
        </w:rPr>
        <w:t xml:space="preserve">Compensatory damages are not available under Title III. </w:t>
      </w:r>
      <w:r w:rsidR="00554454" w:rsidRPr="0007526A">
        <w:rPr>
          <w:szCs w:val="24"/>
        </w:rPr>
        <w:t xml:space="preserve">Instead, </w:t>
      </w:r>
      <w:r w:rsidRPr="0007526A">
        <w:rPr>
          <w:szCs w:val="24"/>
        </w:rPr>
        <w:t xml:space="preserve">Plaintiff </w:t>
      </w:r>
      <w:r w:rsidR="00554454" w:rsidRPr="0007526A">
        <w:rPr>
          <w:szCs w:val="24"/>
        </w:rPr>
        <w:t>is entitled</w:t>
      </w:r>
      <w:r w:rsidRPr="0007526A">
        <w:rPr>
          <w:szCs w:val="24"/>
        </w:rPr>
        <w:t xml:space="preserve"> </w:t>
      </w:r>
      <w:r w:rsidR="00554454" w:rsidRPr="0007526A">
        <w:rPr>
          <w:szCs w:val="24"/>
        </w:rPr>
        <w:t xml:space="preserve">only </w:t>
      </w:r>
      <w:r w:rsidRPr="0007526A">
        <w:rPr>
          <w:szCs w:val="24"/>
        </w:rPr>
        <w:t xml:space="preserve">to </w:t>
      </w:r>
      <w:r w:rsidR="001E4EA5" w:rsidRPr="0007526A">
        <w:rPr>
          <w:szCs w:val="24"/>
        </w:rPr>
        <w:t>injunctive relief, including “an order to alter facilities to make such facilities readily accessible to and usable by individuals with disabilities[.]” 42 U.S.C. § 12188</w:t>
      </w:r>
      <w:r w:rsidR="00554454" w:rsidRPr="0007526A">
        <w:rPr>
          <w:szCs w:val="24"/>
        </w:rPr>
        <w:t>(a)(2)</w:t>
      </w:r>
      <w:r w:rsidR="00A07242" w:rsidRPr="0007526A">
        <w:rPr>
          <w:szCs w:val="24"/>
        </w:rPr>
        <w:fldChar w:fldCharType="begin"/>
      </w:r>
      <w:r w:rsidR="00A07242" w:rsidRPr="0007526A">
        <w:rPr>
          <w:szCs w:val="24"/>
        </w:rPr>
        <w:instrText xml:space="preserve"> TA \l "42 U.S.C. § 12188" \s "42 U.S.C. § 12188" \c 2 </w:instrText>
      </w:r>
      <w:r w:rsidR="00A07242" w:rsidRPr="0007526A">
        <w:rPr>
          <w:szCs w:val="24"/>
        </w:rPr>
        <w:fldChar w:fldCharType="end"/>
      </w:r>
      <w:r w:rsidR="001E4EA5" w:rsidRPr="0007526A">
        <w:rPr>
          <w:szCs w:val="24"/>
        </w:rPr>
        <w:t xml:space="preserve">. As </w:t>
      </w:r>
      <w:r w:rsidR="00F70F7D" w:rsidRPr="0007526A">
        <w:rPr>
          <w:szCs w:val="24"/>
        </w:rPr>
        <w:t xml:space="preserve">previously explained, </w:t>
      </w:r>
      <w:r w:rsidR="001E4EA5" w:rsidRPr="0007526A">
        <w:rPr>
          <w:szCs w:val="24"/>
        </w:rPr>
        <w:t xml:space="preserve">the Agreement achieved by Plaintiff and Class Counsel provides injunctive relief comparable </w:t>
      </w:r>
      <w:r w:rsidR="00CF4DAC" w:rsidRPr="0007526A">
        <w:rPr>
          <w:iCs/>
          <w:szCs w:val="24"/>
        </w:rPr>
        <w:t xml:space="preserve">to </w:t>
      </w:r>
      <w:r w:rsidR="00554454" w:rsidRPr="0007526A">
        <w:rPr>
          <w:iCs/>
          <w:szCs w:val="24"/>
        </w:rPr>
        <w:t xml:space="preserve">that obtained in </w:t>
      </w:r>
      <w:r w:rsidR="00554454" w:rsidRPr="0007526A">
        <w:rPr>
          <w:i/>
          <w:szCs w:val="24"/>
        </w:rPr>
        <w:t>Eyebobs</w:t>
      </w:r>
      <w:r w:rsidR="00554454" w:rsidRPr="0007526A">
        <w:rPr>
          <w:iCs/>
          <w:szCs w:val="24"/>
        </w:rPr>
        <w:t xml:space="preserve">, </w:t>
      </w:r>
      <w:r w:rsidR="00554454" w:rsidRPr="0007526A">
        <w:rPr>
          <w:i/>
          <w:szCs w:val="24"/>
        </w:rPr>
        <w:t>Charles Tyrwhitt</w:t>
      </w:r>
      <w:r w:rsidR="00554454" w:rsidRPr="0007526A">
        <w:rPr>
          <w:iCs/>
          <w:szCs w:val="24"/>
        </w:rPr>
        <w:t xml:space="preserve">, </w:t>
      </w:r>
      <w:r w:rsidR="00554454" w:rsidRPr="0007526A">
        <w:rPr>
          <w:i/>
          <w:szCs w:val="24"/>
        </w:rPr>
        <w:t>Poly-Wood</w:t>
      </w:r>
      <w:r w:rsidR="00554454" w:rsidRPr="0007526A">
        <w:rPr>
          <w:iCs/>
          <w:szCs w:val="24"/>
        </w:rPr>
        <w:t>,</w:t>
      </w:r>
      <w:r w:rsidR="0042421A" w:rsidRPr="0007526A">
        <w:rPr>
          <w:iCs/>
          <w:szCs w:val="24"/>
        </w:rPr>
        <w:t xml:space="preserve"> </w:t>
      </w:r>
      <w:r w:rsidR="00554454" w:rsidRPr="0007526A">
        <w:rPr>
          <w:i/>
          <w:szCs w:val="24"/>
        </w:rPr>
        <w:t>The Hundreds</w:t>
      </w:r>
      <w:r w:rsidR="0042421A" w:rsidRPr="0007526A">
        <w:rPr>
          <w:iCs/>
          <w:szCs w:val="24"/>
        </w:rPr>
        <w:t xml:space="preserve">, </w:t>
      </w:r>
      <w:r w:rsidR="0042421A" w:rsidRPr="0007526A">
        <w:rPr>
          <w:i/>
          <w:szCs w:val="24"/>
        </w:rPr>
        <w:t>Optavia</w:t>
      </w:r>
      <w:r w:rsidR="0042421A" w:rsidRPr="0007526A">
        <w:rPr>
          <w:iCs/>
          <w:szCs w:val="24"/>
        </w:rPr>
        <w:t xml:space="preserve">, </w:t>
      </w:r>
      <w:r w:rsidR="0042421A" w:rsidRPr="0007526A">
        <w:rPr>
          <w:i/>
          <w:szCs w:val="24"/>
        </w:rPr>
        <w:t>P.C. Richard</w:t>
      </w:r>
      <w:r w:rsidR="0042421A" w:rsidRPr="0007526A">
        <w:rPr>
          <w:iCs/>
          <w:szCs w:val="24"/>
        </w:rPr>
        <w:t xml:space="preserve">, and </w:t>
      </w:r>
      <w:r w:rsidR="0007526A" w:rsidRPr="0007526A">
        <w:rPr>
          <w:i/>
          <w:szCs w:val="24"/>
        </w:rPr>
        <w:t>Le Sportsac</w:t>
      </w:r>
      <w:r w:rsidR="001E4EA5" w:rsidRPr="0007526A">
        <w:rPr>
          <w:szCs w:val="24"/>
        </w:rPr>
        <w:t>.</w:t>
      </w:r>
      <w:r w:rsidR="00F70F7D" w:rsidRPr="0007526A">
        <w:rPr>
          <w:szCs w:val="24"/>
        </w:rPr>
        <w:t xml:space="preserve"> </w:t>
      </w:r>
      <w:r w:rsidR="00E71ED7" w:rsidRPr="0007526A">
        <w:rPr>
          <w:szCs w:val="24"/>
        </w:rPr>
        <w:t xml:space="preserve">Commenting on the settlement agreement reached in </w:t>
      </w:r>
      <w:r w:rsidR="00E71ED7" w:rsidRPr="0007526A">
        <w:rPr>
          <w:i/>
          <w:iCs/>
          <w:szCs w:val="24"/>
        </w:rPr>
        <w:t>Charles Tyrwhitt</w:t>
      </w:r>
      <w:r w:rsidR="00E71ED7" w:rsidRPr="0007526A">
        <w:rPr>
          <w:szCs w:val="24"/>
        </w:rPr>
        <w:t xml:space="preserve">, which the Agreement here closely tracks, </w:t>
      </w:r>
      <w:r w:rsidR="007C2398" w:rsidRPr="0007526A">
        <w:rPr>
          <w:szCs w:val="24"/>
        </w:rPr>
        <w:t>one judge</w:t>
      </w:r>
      <w:r w:rsidR="00FB219F" w:rsidRPr="0007526A">
        <w:rPr>
          <w:szCs w:val="24"/>
        </w:rPr>
        <w:t xml:space="preserve"> </w:t>
      </w:r>
      <w:r w:rsidR="000440C5" w:rsidRPr="0007526A">
        <w:rPr>
          <w:szCs w:val="24"/>
        </w:rPr>
        <w:t xml:space="preserve">recognized </w:t>
      </w:r>
      <w:r w:rsidR="007C2398" w:rsidRPr="0007526A">
        <w:rPr>
          <w:szCs w:val="24"/>
        </w:rPr>
        <w:t xml:space="preserve">the </w:t>
      </w:r>
      <w:r w:rsidR="0007526A" w:rsidRPr="0007526A">
        <w:rPr>
          <w:szCs w:val="24"/>
        </w:rPr>
        <w:t>c</w:t>
      </w:r>
      <w:r w:rsidR="007C2398" w:rsidRPr="0007526A">
        <w:rPr>
          <w:szCs w:val="24"/>
        </w:rPr>
        <w:t>ourt</w:t>
      </w:r>
      <w:r w:rsidR="00FB219F" w:rsidRPr="0007526A">
        <w:rPr>
          <w:szCs w:val="24"/>
        </w:rPr>
        <w:t xml:space="preserve"> was “hard-pressed to see that much of anything is being left on the table that these absent class members, if they were to litigate on their own, </w:t>
      </w:r>
      <w:r w:rsidR="00F70F7D" w:rsidRPr="0007526A">
        <w:rPr>
          <w:szCs w:val="24"/>
        </w:rPr>
        <w:t>. . .</w:t>
      </w:r>
      <w:r w:rsidR="00FB219F" w:rsidRPr="0007526A">
        <w:rPr>
          <w:szCs w:val="24"/>
        </w:rPr>
        <w:t xml:space="preserve"> could potentially obtain that is not being provided through the current </w:t>
      </w:r>
      <w:r w:rsidR="009E52ED" w:rsidRPr="0007526A">
        <w:rPr>
          <w:szCs w:val="24"/>
        </w:rPr>
        <w:t>[settlement]</w:t>
      </w:r>
      <w:r w:rsidR="00FB219F" w:rsidRPr="0007526A">
        <w:rPr>
          <w:szCs w:val="24"/>
        </w:rPr>
        <w:t xml:space="preserve">.” </w:t>
      </w:r>
      <w:r w:rsidR="000440C5" w:rsidRPr="0007526A">
        <w:rPr>
          <w:szCs w:val="24"/>
        </w:rPr>
        <w:t>Prelimina</w:t>
      </w:r>
      <w:r w:rsidR="004A041D" w:rsidRPr="0007526A">
        <w:rPr>
          <w:szCs w:val="24"/>
        </w:rPr>
        <w:t>r</w:t>
      </w:r>
      <w:r w:rsidR="000440C5" w:rsidRPr="0007526A">
        <w:rPr>
          <w:szCs w:val="24"/>
        </w:rPr>
        <w:t xml:space="preserve">y Approval </w:t>
      </w:r>
      <w:r w:rsidR="00FB219F" w:rsidRPr="0007526A">
        <w:rPr>
          <w:szCs w:val="24"/>
        </w:rPr>
        <w:t>Hr’g Tr.</w:t>
      </w:r>
      <w:r w:rsidR="001D4C16" w:rsidRPr="0007526A">
        <w:rPr>
          <w:szCs w:val="24"/>
        </w:rPr>
        <w:t xml:space="preserve">, </w:t>
      </w:r>
      <w:r w:rsidR="001D4C16" w:rsidRPr="0007526A">
        <w:rPr>
          <w:i/>
          <w:iCs/>
          <w:szCs w:val="24"/>
        </w:rPr>
        <w:t>Murphy v. Charles Tyrwhitt, Inc.</w:t>
      </w:r>
      <w:r w:rsidR="001D4C16" w:rsidRPr="0007526A">
        <w:rPr>
          <w:szCs w:val="24"/>
        </w:rPr>
        <w:t>, No. 1:20-cv-00056</w:t>
      </w:r>
      <w:r w:rsidR="007435F7" w:rsidRPr="0007526A">
        <w:rPr>
          <w:szCs w:val="24"/>
        </w:rPr>
        <w:t>, Doc. 35, p. 12</w:t>
      </w:r>
      <w:r w:rsidR="004A041D" w:rsidRPr="0007526A">
        <w:rPr>
          <w:szCs w:val="24"/>
        </w:rPr>
        <w:t xml:space="preserve"> (W.D. Pa.</w:t>
      </w:r>
      <w:r w:rsidR="007435F7" w:rsidRPr="0007526A">
        <w:rPr>
          <w:szCs w:val="24"/>
        </w:rPr>
        <w:t xml:space="preserve"> Feb. 12, 2021</w:t>
      </w:r>
      <w:r w:rsidR="004A041D" w:rsidRPr="0007526A">
        <w:rPr>
          <w:szCs w:val="24"/>
        </w:rPr>
        <w:t>)</w:t>
      </w:r>
      <w:r w:rsidR="00FB219F" w:rsidRPr="0007526A">
        <w:rPr>
          <w:szCs w:val="24"/>
        </w:rPr>
        <w:t>.</w:t>
      </w:r>
      <w:r w:rsidR="00FA7EF0" w:rsidRPr="0007526A">
        <w:rPr>
          <w:szCs w:val="24"/>
        </w:rPr>
        <w:t xml:space="preserve"> </w:t>
      </w:r>
      <w:r w:rsidR="007435F7" w:rsidRPr="0007526A">
        <w:rPr>
          <w:szCs w:val="24"/>
        </w:rPr>
        <w:t xml:space="preserve"> </w:t>
      </w:r>
      <w:r w:rsidR="00FA7EF0" w:rsidRPr="0007526A">
        <w:rPr>
          <w:szCs w:val="24"/>
        </w:rPr>
        <w:t xml:space="preserve">By all accounts, the recovery here is </w:t>
      </w:r>
      <w:r w:rsidR="0039432A" w:rsidRPr="0007526A">
        <w:rPr>
          <w:szCs w:val="24"/>
        </w:rPr>
        <w:t>as strong as</w:t>
      </w:r>
      <w:r w:rsidR="00FA7EF0" w:rsidRPr="0007526A">
        <w:rPr>
          <w:szCs w:val="24"/>
        </w:rPr>
        <w:t xml:space="preserve"> any </w:t>
      </w:r>
      <w:r w:rsidR="0039432A" w:rsidRPr="0007526A">
        <w:rPr>
          <w:szCs w:val="24"/>
        </w:rPr>
        <w:t xml:space="preserve">that a </w:t>
      </w:r>
      <w:r w:rsidR="00FA7EF0" w:rsidRPr="0007526A">
        <w:rPr>
          <w:szCs w:val="24"/>
        </w:rPr>
        <w:t xml:space="preserve">private </w:t>
      </w:r>
      <w:r w:rsidR="00FA7EF0" w:rsidRPr="009B4A35">
        <w:rPr>
          <w:szCs w:val="24"/>
        </w:rPr>
        <w:t>individual has achieved</w:t>
      </w:r>
      <w:r w:rsidR="00331ACC" w:rsidRPr="009B4A35">
        <w:rPr>
          <w:szCs w:val="24"/>
        </w:rPr>
        <w:t>,</w:t>
      </w:r>
      <w:r w:rsidR="00FA7EF0" w:rsidRPr="009B4A35">
        <w:rPr>
          <w:szCs w:val="24"/>
        </w:rPr>
        <w:t xml:space="preserve"> and supports the requested fee</w:t>
      </w:r>
      <w:r w:rsidR="00331ACC" w:rsidRPr="009B4A35">
        <w:rPr>
          <w:szCs w:val="24"/>
        </w:rPr>
        <w:t>s</w:t>
      </w:r>
      <w:r w:rsidR="00FA7EF0" w:rsidRPr="009B4A35">
        <w:rPr>
          <w:szCs w:val="24"/>
        </w:rPr>
        <w:t>.</w:t>
      </w:r>
    </w:p>
    <w:p w14:paraId="17EA5059" w14:textId="3920FA38" w:rsidR="00FA7EF0" w:rsidRPr="009B4A35" w:rsidRDefault="00FA7EF0" w:rsidP="00E458A2">
      <w:pPr>
        <w:pStyle w:val="ListParagraph"/>
        <w:keepNext/>
        <w:numPr>
          <w:ilvl w:val="0"/>
          <w:numId w:val="13"/>
        </w:numPr>
        <w:spacing w:after="240"/>
        <w:ind w:left="2160" w:right="720" w:hanging="720"/>
        <w:contextualSpacing w:val="0"/>
        <w:jc w:val="both"/>
        <w:rPr>
          <w:b/>
          <w:bCs/>
          <w:szCs w:val="24"/>
        </w:rPr>
      </w:pPr>
      <w:r w:rsidRPr="009B4A35">
        <w:rPr>
          <w:b/>
          <w:bCs/>
          <w:szCs w:val="24"/>
        </w:rPr>
        <w:t xml:space="preserve">The </w:t>
      </w:r>
      <w:r w:rsidR="00356A9D" w:rsidRPr="009B4A35">
        <w:rPr>
          <w:b/>
          <w:bCs/>
          <w:szCs w:val="24"/>
        </w:rPr>
        <w:t>e</w:t>
      </w:r>
      <w:r w:rsidRPr="009B4A35">
        <w:rPr>
          <w:b/>
          <w:bCs/>
          <w:szCs w:val="24"/>
        </w:rPr>
        <w:t xml:space="preserve">xperience, </w:t>
      </w:r>
      <w:r w:rsidR="00356A9D" w:rsidRPr="009B4A35">
        <w:rPr>
          <w:b/>
          <w:bCs/>
          <w:szCs w:val="24"/>
        </w:rPr>
        <w:t>r</w:t>
      </w:r>
      <w:r w:rsidRPr="009B4A35">
        <w:rPr>
          <w:b/>
          <w:bCs/>
          <w:szCs w:val="24"/>
        </w:rPr>
        <w:t xml:space="preserve">eputation, and </w:t>
      </w:r>
      <w:r w:rsidR="00356A9D" w:rsidRPr="009B4A35">
        <w:rPr>
          <w:b/>
          <w:bCs/>
          <w:szCs w:val="24"/>
        </w:rPr>
        <w:t>a</w:t>
      </w:r>
      <w:r w:rsidRPr="009B4A35">
        <w:rPr>
          <w:b/>
          <w:bCs/>
          <w:szCs w:val="24"/>
        </w:rPr>
        <w:t xml:space="preserve">bility of the </w:t>
      </w:r>
      <w:r w:rsidR="00356A9D" w:rsidRPr="009B4A35">
        <w:rPr>
          <w:b/>
          <w:bCs/>
          <w:szCs w:val="24"/>
        </w:rPr>
        <w:t>a</w:t>
      </w:r>
      <w:r w:rsidRPr="009B4A35">
        <w:rPr>
          <w:b/>
          <w:bCs/>
          <w:szCs w:val="24"/>
        </w:rPr>
        <w:t>ttorneys</w:t>
      </w:r>
    </w:p>
    <w:p w14:paraId="2503A554" w14:textId="5779B71A" w:rsidR="00FA7EF0" w:rsidRPr="007679DE" w:rsidRDefault="00FA7EF0" w:rsidP="00B3601D">
      <w:pPr>
        <w:spacing w:line="480" w:lineRule="auto"/>
        <w:ind w:firstLine="720"/>
        <w:jc w:val="both"/>
        <w:rPr>
          <w:szCs w:val="24"/>
        </w:rPr>
      </w:pPr>
      <w:r w:rsidRPr="009B4A35">
        <w:rPr>
          <w:szCs w:val="24"/>
        </w:rPr>
        <w:t>This factor is largely subsumed in the evaluation of a reasonable rate for the attorneys</w:t>
      </w:r>
      <w:r w:rsidR="004C72E7" w:rsidRPr="009B4A35">
        <w:rPr>
          <w:szCs w:val="24"/>
        </w:rPr>
        <w:t>’</w:t>
      </w:r>
      <w:r w:rsidRPr="009B4A35">
        <w:rPr>
          <w:szCs w:val="24"/>
        </w:rPr>
        <w:t xml:space="preserve"> services. As </w:t>
      </w:r>
      <w:r w:rsidR="0019523F" w:rsidRPr="009B4A35">
        <w:rPr>
          <w:szCs w:val="24"/>
        </w:rPr>
        <w:t>explained</w:t>
      </w:r>
      <w:r w:rsidRPr="009B4A35">
        <w:rPr>
          <w:szCs w:val="24"/>
        </w:rPr>
        <w:t xml:space="preserve"> </w:t>
      </w:r>
      <w:r w:rsidR="000440C5" w:rsidRPr="009B4A35">
        <w:rPr>
          <w:szCs w:val="24"/>
        </w:rPr>
        <w:t>in Section III.B.</w:t>
      </w:r>
      <w:r w:rsidR="0058326C" w:rsidRPr="009B4A35">
        <w:rPr>
          <w:szCs w:val="24"/>
        </w:rPr>
        <w:t>2</w:t>
      </w:r>
      <w:r w:rsidR="0019523F" w:rsidRPr="009B4A35">
        <w:rPr>
          <w:szCs w:val="24"/>
        </w:rPr>
        <w:t>.</w:t>
      </w:r>
      <w:r w:rsidR="00B6126A" w:rsidRPr="009B4A35">
        <w:rPr>
          <w:szCs w:val="24"/>
        </w:rPr>
        <w:t>,</w:t>
      </w:r>
      <w:r w:rsidR="000440C5" w:rsidRPr="009B4A35">
        <w:rPr>
          <w:szCs w:val="24"/>
        </w:rPr>
        <w:t xml:space="preserve"> </w:t>
      </w:r>
      <w:r w:rsidR="0019523F" w:rsidRPr="009B4A35">
        <w:rPr>
          <w:i/>
          <w:iCs/>
          <w:szCs w:val="24"/>
        </w:rPr>
        <w:t>supra</w:t>
      </w:r>
      <w:r w:rsidRPr="009B4A35">
        <w:rPr>
          <w:szCs w:val="24"/>
        </w:rPr>
        <w:t>, Class Counsel are well versed in class actions, complex litigation, and Title III,</w:t>
      </w:r>
      <w:r w:rsidR="000440C5" w:rsidRPr="009B4A35">
        <w:rPr>
          <w:szCs w:val="24"/>
        </w:rPr>
        <w:t xml:space="preserve"> all of which are</w:t>
      </w:r>
      <w:r w:rsidRPr="009B4A35">
        <w:rPr>
          <w:szCs w:val="24"/>
        </w:rPr>
        <w:t xml:space="preserve"> skills required to prosecute the class claims here</w:t>
      </w:r>
      <w:r w:rsidR="007B1961" w:rsidRPr="009B4A35">
        <w:rPr>
          <w:szCs w:val="24"/>
        </w:rPr>
        <w:t>.</w:t>
      </w:r>
      <w:r w:rsidR="00234BFC" w:rsidRPr="009B4A35">
        <w:rPr>
          <w:szCs w:val="24"/>
        </w:rPr>
        <w:t xml:space="preserve"> </w:t>
      </w:r>
      <w:r w:rsidRPr="009B4A35">
        <w:rPr>
          <w:szCs w:val="24"/>
        </w:rPr>
        <w:t xml:space="preserve">This factor </w:t>
      </w:r>
      <w:r w:rsidRPr="007679DE">
        <w:rPr>
          <w:szCs w:val="24"/>
        </w:rPr>
        <w:t xml:space="preserve">supports </w:t>
      </w:r>
      <w:r w:rsidR="0019523F" w:rsidRPr="007679DE">
        <w:rPr>
          <w:szCs w:val="24"/>
        </w:rPr>
        <w:t>the requested fees</w:t>
      </w:r>
      <w:r w:rsidR="007B1961" w:rsidRPr="007679DE">
        <w:rPr>
          <w:szCs w:val="24"/>
        </w:rPr>
        <w:t>.</w:t>
      </w:r>
    </w:p>
    <w:p w14:paraId="35DD2F60" w14:textId="50D9C2D0" w:rsidR="007B1961" w:rsidRPr="007679DE" w:rsidRDefault="007B1961" w:rsidP="00E458A2">
      <w:pPr>
        <w:pStyle w:val="ListParagraph"/>
        <w:keepNext/>
        <w:numPr>
          <w:ilvl w:val="0"/>
          <w:numId w:val="13"/>
        </w:numPr>
        <w:spacing w:after="240"/>
        <w:ind w:left="2160" w:right="720" w:hanging="720"/>
        <w:contextualSpacing w:val="0"/>
        <w:jc w:val="both"/>
        <w:rPr>
          <w:b/>
          <w:bCs/>
          <w:szCs w:val="24"/>
        </w:rPr>
      </w:pPr>
      <w:r w:rsidRPr="007679DE">
        <w:rPr>
          <w:b/>
          <w:bCs/>
          <w:szCs w:val="24"/>
        </w:rPr>
        <w:t>The “</w:t>
      </w:r>
      <w:r w:rsidR="00356A9D" w:rsidRPr="007679DE">
        <w:rPr>
          <w:b/>
          <w:bCs/>
          <w:szCs w:val="24"/>
        </w:rPr>
        <w:t>u</w:t>
      </w:r>
      <w:r w:rsidRPr="007679DE">
        <w:rPr>
          <w:b/>
          <w:bCs/>
          <w:szCs w:val="24"/>
        </w:rPr>
        <w:t xml:space="preserve">ndesirability” of the </w:t>
      </w:r>
      <w:r w:rsidR="00356A9D" w:rsidRPr="007679DE">
        <w:rPr>
          <w:b/>
          <w:bCs/>
          <w:szCs w:val="24"/>
        </w:rPr>
        <w:t>c</w:t>
      </w:r>
      <w:r w:rsidRPr="007679DE">
        <w:rPr>
          <w:b/>
          <w:bCs/>
          <w:szCs w:val="24"/>
        </w:rPr>
        <w:t>ase</w:t>
      </w:r>
    </w:p>
    <w:p w14:paraId="030F46B6" w14:textId="59019D63" w:rsidR="005F6850" w:rsidRPr="00D758E1" w:rsidRDefault="002F67EA" w:rsidP="00093BC2">
      <w:pPr>
        <w:spacing w:line="480" w:lineRule="auto"/>
        <w:ind w:firstLine="720"/>
        <w:jc w:val="both"/>
        <w:rPr>
          <w:szCs w:val="24"/>
        </w:rPr>
      </w:pPr>
      <w:r w:rsidRPr="007679DE">
        <w:rPr>
          <w:szCs w:val="24"/>
        </w:rPr>
        <w:t>Class Counsel do not consider expand</w:t>
      </w:r>
      <w:r w:rsidR="0058326C" w:rsidRPr="007679DE">
        <w:rPr>
          <w:szCs w:val="24"/>
        </w:rPr>
        <w:t xml:space="preserve">ing </w:t>
      </w:r>
      <w:r w:rsidR="00EB4BA1" w:rsidRPr="007679DE">
        <w:rPr>
          <w:szCs w:val="24"/>
        </w:rPr>
        <w:t xml:space="preserve">the </w:t>
      </w:r>
      <w:r w:rsidR="0058326C" w:rsidRPr="007679DE">
        <w:rPr>
          <w:szCs w:val="24"/>
        </w:rPr>
        <w:t>benefits</w:t>
      </w:r>
      <w:r w:rsidR="00EB4BA1" w:rsidRPr="007679DE">
        <w:rPr>
          <w:szCs w:val="24"/>
        </w:rPr>
        <w:t xml:space="preserve"> of the internet to blind consumers to be “undesirable.” Despite the aspersions of some, Class Counsel take pride in representing Plaintiff as </w:t>
      </w:r>
      <w:r w:rsidR="00CF4DAC" w:rsidRPr="007679DE">
        <w:rPr>
          <w:szCs w:val="24"/>
        </w:rPr>
        <w:t>he</w:t>
      </w:r>
      <w:r w:rsidR="00EB4BA1" w:rsidRPr="007679DE">
        <w:rPr>
          <w:szCs w:val="24"/>
        </w:rPr>
        <w:t xml:space="preserve"> perform</w:t>
      </w:r>
      <w:r w:rsidR="00CF4DAC" w:rsidRPr="007679DE">
        <w:rPr>
          <w:szCs w:val="24"/>
        </w:rPr>
        <w:t>s</w:t>
      </w:r>
      <w:r w:rsidR="00EB4BA1" w:rsidRPr="007679DE">
        <w:rPr>
          <w:szCs w:val="24"/>
        </w:rPr>
        <w:t xml:space="preserve"> </w:t>
      </w:r>
      <w:r w:rsidR="00CF4DAC" w:rsidRPr="007679DE">
        <w:rPr>
          <w:szCs w:val="24"/>
        </w:rPr>
        <w:t>his</w:t>
      </w:r>
      <w:r w:rsidR="00E0078D" w:rsidRPr="007679DE">
        <w:rPr>
          <w:szCs w:val="24"/>
        </w:rPr>
        <w:t xml:space="preserve"> congressionally delegated duties as</w:t>
      </w:r>
      <w:r w:rsidR="00EB4BA1" w:rsidRPr="007679DE">
        <w:rPr>
          <w:szCs w:val="24"/>
        </w:rPr>
        <w:t xml:space="preserve"> private attorney gener</w:t>
      </w:r>
      <w:r w:rsidR="0058326C" w:rsidRPr="007679DE">
        <w:rPr>
          <w:szCs w:val="24"/>
        </w:rPr>
        <w:t>al.</w:t>
      </w:r>
      <w:r w:rsidR="00093BC2" w:rsidRPr="007679DE">
        <w:rPr>
          <w:rStyle w:val="FootnoteReference"/>
          <w:szCs w:val="24"/>
        </w:rPr>
        <w:footnoteReference w:id="6"/>
      </w:r>
      <w:r w:rsidR="0058326C" w:rsidRPr="007679DE">
        <w:rPr>
          <w:szCs w:val="24"/>
        </w:rPr>
        <w:t xml:space="preserve"> Since the first </w:t>
      </w:r>
      <w:r w:rsidR="0058326C" w:rsidRPr="009C1D5D">
        <w:rPr>
          <w:szCs w:val="24"/>
        </w:rPr>
        <w:lastRenderedPageBreak/>
        <w:t>web</w:t>
      </w:r>
      <w:r w:rsidR="00093BC2" w:rsidRPr="009C1D5D">
        <w:rPr>
          <w:szCs w:val="24"/>
        </w:rPr>
        <w:t xml:space="preserve"> accessibility</w:t>
      </w:r>
      <w:r w:rsidR="0058326C" w:rsidRPr="009C1D5D">
        <w:rPr>
          <w:szCs w:val="24"/>
        </w:rPr>
        <w:t xml:space="preserve"> case filed in this </w:t>
      </w:r>
      <w:r w:rsidR="00B53D5B" w:rsidRPr="009C1D5D">
        <w:rPr>
          <w:szCs w:val="24"/>
        </w:rPr>
        <w:t>d</w:t>
      </w:r>
      <w:r w:rsidR="0058326C" w:rsidRPr="009C1D5D">
        <w:rPr>
          <w:szCs w:val="24"/>
        </w:rPr>
        <w:t xml:space="preserve">istrict in 2015, the number of accessibility-specific consultants has grown </w:t>
      </w:r>
      <w:r w:rsidR="00093BC2" w:rsidRPr="009C1D5D">
        <w:rPr>
          <w:szCs w:val="24"/>
        </w:rPr>
        <w:t>rapidly</w:t>
      </w:r>
      <w:r w:rsidR="0058326C" w:rsidRPr="009C1D5D">
        <w:rPr>
          <w:szCs w:val="24"/>
        </w:rPr>
        <w:t xml:space="preserve">, startups across the </w:t>
      </w:r>
      <w:r w:rsidR="00093BC2" w:rsidRPr="009C1D5D">
        <w:rPr>
          <w:szCs w:val="24"/>
        </w:rPr>
        <w:t>world</w:t>
      </w:r>
      <w:r w:rsidR="0058326C" w:rsidRPr="009C1D5D">
        <w:rPr>
          <w:szCs w:val="24"/>
        </w:rPr>
        <w:t xml:space="preserve"> have introduced </w:t>
      </w:r>
      <w:r w:rsidR="00093BC2" w:rsidRPr="009C1D5D">
        <w:rPr>
          <w:szCs w:val="24"/>
        </w:rPr>
        <w:t>tech</w:t>
      </w:r>
      <w:r w:rsidR="0058326C" w:rsidRPr="009C1D5D">
        <w:rPr>
          <w:szCs w:val="24"/>
        </w:rPr>
        <w:t xml:space="preserve">-based solutions to make it easier for ecommerce stores to become accessible, and the DOJ has </w:t>
      </w:r>
      <w:r w:rsidR="00093BC2" w:rsidRPr="009C1D5D">
        <w:rPr>
          <w:szCs w:val="24"/>
        </w:rPr>
        <w:t>issued guidance concerning “the importance of web accessibility, barriers that inaccessible websites create for some people with disabilities, when the ADA requires web content to be accessible, tips on making web content accessible and other information and resources.”</w:t>
      </w:r>
      <w:r w:rsidR="00093BC2" w:rsidRPr="009C1D5D">
        <w:rPr>
          <w:rStyle w:val="FootnoteReference"/>
          <w:szCs w:val="24"/>
        </w:rPr>
        <w:footnoteReference w:id="7"/>
      </w:r>
      <w:r w:rsidR="0058326C" w:rsidRPr="009C1D5D">
        <w:rPr>
          <w:szCs w:val="24"/>
        </w:rPr>
        <w:t xml:space="preserve"> </w:t>
      </w:r>
      <w:r w:rsidR="007C2398" w:rsidRPr="009C1D5D">
        <w:rPr>
          <w:szCs w:val="24"/>
        </w:rPr>
        <w:t>T</w:t>
      </w:r>
      <w:r w:rsidR="00093BC2" w:rsidRPr="009C1D5D">
        <w:rPr>
          <w:szCs w:val="24"/>
        </w:rPr>
        <w:t xml:space="preserve">iming suggests these developments would not have occurred without private plaintiffs demanding access through litigation, and courts across the country </w:t>
      </w:r>
      <w:r w:rsidR="00085B85" w:rsidRPr="009C1D5D">
        <w:rPr>
          <w:szCs w:val="24"/>
        </w:rPr>
        <w:t xml:space="preserve">repeatedly </w:t>
      </w:r>
      <w:r w:rsidR="00093BC2" w:rsidRPr="009C1D5D">
        <w:rPr>
          <w:szCs w:val="24"/>
        </w:rPr>
        <w:t>affirming that right. Because Class Counsel do not consider this case “undesirable</w:t>
      </w:r>
      <w:r w:rsidR="005F6850" w:rsidRPr="009C1D5D">
        <w:rPr>
          <w:szCs w:val="24"/>
        </w:rPr>
        <w:t>,</w:t>
      </w:r>
      <w:r w:rsidR="00093BC2" w:rsidRPr="009C1D5D">
        <w:rPr>
          <w:szCs w:val="24"/>
        </w:rPr>
        <w:t>”</w:t>
      </w:r>
      <w:r w:rsidR="005F6850" w:rsidRPr="009C1D5D">
        <w:rPr>
          <w:szCs w:val="24"/>
        </w:rPr>
        <w:t xml:space="preserve"> this </w:t>
      </w:r>
      <w:r w:rsidR="005F6850" w:rsidRPr="00D758E1">
        <w:rPr>
          <w:szCs w:val="24"/>
        </w:rPr>
        <w:t xml:space="preserve">factor may not support </w:t>
      </w:r>
      <w:r w:rsidR="001617F7" w:rsidRPr="00D758E1">
        <w:rPr>
          <w:szCs w:val="24"/>
        </w:rPr>
        <w:t>fee</w:t>
      </w:r>
      <w:r w:rsidR="00085B85" w:rsidRPr="00D758E1">
        <w:rPr>
          <w:szCs w:val="24"/>
        </w:rPr>
        <w:t>s</w:t>
      </w:r>
      <w:r w:rsidR="001617F7" w:rsidRPr="00D758E1">
        <w:rPr>
          <w:szCs w:val="24"/>
        </w:rPr>
        <w:t xml:space="preserve"> above prevailing rates.</w:t>
      </w:r>
    </w:p>
    <w:p w14:paraId="35625CE4" w14:textId="20F0E0EE" w:rsidR="001617F7" w:rsidRPr="00D758E1" w:rsidRDefault="001617F7" w:rsidP="00E458A2">
      <w:pPr>
        <w:pStyle w:val="ListParagraph"/>
        <w:keepNext/>
        <w:numPr>
          <w:ilvl w:val="0"/>
          <w:numId w:val="13"/>
        </w:numPr>
        <w:spacing w:after="240"/>
        <w:ind w:left="2160" w:right="720" w:hanging="720"/>
        <w:contextualSpacing w:val="0"/>
        <w:jc w:val="both"/>
        <w:rPr>
          <w:b/>
          <w:bCs/>
          <w:szCs w:val="24"/>
        </w:rPr>
      </w:pPr>
      <w:r w:rsidRPr="00D758E1">
        <w:rPr>
          <w:b/>
          <w:bCs/>
          <w:szCs w:val="24"/>
        </w:rPr>
        <w:t xml:space="preserve">The </w:t>
      </w:r>
      <w:r w:rsidR="00356A9D" w:rsidRPr="00D758E1">
        <w:rPr>
          <w:b/>
          <w:bCs/>
          <w:szCs w:val="24"/>
        </w:rPr>
        <w:t>n</w:t>
      </w:r>
      <w:r w:rsidRPr="00D758E1">
        <w:rPr>
          <w:b/>
          <w:bCs/>
          <w:szCs w:val="24"/>
        </w:rPr>
        <w:t xml:space="preserve">ature and </w:t>
      </w:r>
      <w:r w:rsidR="00356A9D" w:rsidRPr="00D758E1">
        <w:rPr>
          <w:b/>
          <w:bCs/>
          <w:szCs w:val="24"/>
        </w:rPr>
        <w:t>l</w:t>
      </w:r>
      <w:r w:rsidRPr="00D758E1">
        <w:rPr>
          <w:b/>
          <w:bCs/>
          <w:szCs w:val="24"/>
        </w:rPr>
        <w:t xml:space="preserve">ength of the </w:t>
      </w:r>
      <w:r w:rsidR="00356A9D" w:rsidRPr="00D758E1">
        <w:rPr>
          <w:b/>
          <w:bCs/>
          <w:szCs w:val="24"/>
        </w:rPr>
        <w:t>a</w:t>
      </w:r>
      <w:r w:rsidRPr="00D758E1">
        <w:rPr>
          <w:b/>
          <w:bCs/>
          <w:szCs w:val="24"/>
        </w:rPr>
        <w:t>ttorney-</w:t>
      </w:r>
      <w:r w:rsidR="00356A9D" w:rsidRPr="00D758E1">
        <w:rPr>
          <w:b/>
          <w:bCs/>
          <w:szCs w:val="24"/>
        </w:rPr>
        <w:t>c</w:t>
      </w:r>
      <w:r w:rsidRPr="00D758E1">
        <w:rPr>
          <w:b/>
          <w:bCs/>
          <w:szCs w:val="24"/>
        </w:rPr>
        <w:t xml:space="preserve">lient </w:t>
      </w:r>
      <w:r w:rsidR="00356A9D" w:rsidRPr="00D758E1">
        <w:rPr>
          <w:b/>
          <w:bCs/>
          <w:szCs w:val="24"/>
        </w:rPr>
        <w:t>r</w:t>
      </w:r>
      <w:r w:rsidRPr="00D758E1">
        <w:rPr>
          <w:b/>
          <w:bCs/>
          <w:szCs w:val="24"/>
        </w:rPr>
        <w:t>elationship</w:t>
      </w:r>
    </w:p>
    <w:p w14:paraId="7CFE4987" w14:textId="03449575" w:rsidR="005F6850" w:rsidRPr="00D758E1" w:rsidRDefault="001617F7" w:rsidP="00B3601D">
      <w:pPr>
        <w:spacing w:line="480" w:lineRule="auto"/>
        <w:ind w:firstLine="720"/>
        <w:jc w:val="both"/>
        <w:rPr>
          <w:szCs w:val="24"/>
        </w:rPr>
      </w:pPr>
      <w:r w:rsidRPr="00D758E1">
        <w:rPr>
          <w:szCs w:val="24"/>
        </w:rPr>
        <w:t>Class Counsel ha</w:t>
      </w:r>
      <w:r w:rsidR="00FF330E" w:rsidRPr="00D758E1">
        <w:rPr>
          <w:szCs w:val="24"/>
        </w:rPr>
        <w:t>ve</w:t>
      </w:r>
      <w:r w:rsidRPr="00D758E1">
        <w:rPr>
          <w:szCs w:val="24"/>
        </w:rPr>
        <w:t xml:space="preserve"> represented Plaintiff for several years and ha</w:t>
      </w:r>
      <w:r w:rsidR="00FF330E" w:rsidRPr="00D758E1">
        <w:rPr>
          <w:szCs w:val="24"/>
        </w:rPr>
        <w:t>ve</w:t>
      </w:r>
      <w:r w:rsidRPr="00D758E1">
        <w:rPr>
          <w:szCs w:val="24"/>
        </w:rPr>
        <w:t xml:space="preserve"> pursued claims on </w:t>
      </w:r>
      <w:r w:rsidR="004C72E7" w:rsidRPr="00D758E1">
        <w:rPr>
          <w:szCs w:val="24"/>
        </w:rPr>
        <w:t xml:space="preserve">his </w:t>
      </w:r>
      <w:r w:rsidRPr="00D758E1">
        <w:rPr>
          <w:szCs w:val="24"/>
        </w:rPr>
        <w:t xml:space="preserve">behalf without any remuneration from </w:t>
      </w:r>
      <w:r w:rsidR="004F43B6" w:rsidRPr="00D758E1">
        <w:rPr>
          <w:szCs w:val="24"/>
        </w:rPr>
        <w:t>him</w:t>
      </w:r>
      <w:r w:rsidRPr="00D758E1">
        <w:rPr>
          <w:szCs w:val="24"/>
        </w:rPr>
        <w:t xml:space="preserve">. Class Counsel </w:t>
      </w:r>
      <w:r w:rsidR="00A27445" w:rsidRPr="00D758E1">
        <w:rPr>
          <w:szCs w:val="24"/>
        </w:rPr>
        <w:t>can only commit time and resources to representing Plaintiff</w:t>
      </w:r>
      <w:r w:rsidR="00230DB9" w:rsidRPr="00D758E1">
        <w:rPr>
          <w:szCs w:val="24"/>
        </w:rPr>
        <w:t>,</w:t>
      </w:r>
      <w:r w:rsidR="00A27445" w:rsidRPr="00D758E1">
        <w:rPr>
          <w:szCs w:val="24"/>
        </w:rPr>
        <w:t xml:space="preserve"> </w:t>
      </w:r>
      <w:r w:rsidR="00230DB9" w:rsidRPr="00D758E1">
        <w:rPr>
          <w:szCs w:val="24"/>
        </w:rPr>
        <w:t xml:space="preserve">thereby prompting </w:t>
      </w:r>
      <w:r w:rsidR="007C2398" w:rsidRPr="00D758E1">
        <w:rPr>
          <w:szCs w:val="24"/>
        </w:rPr>
        <w:t>businesses</w:t>
      </w:r>
      <w:r w:rsidR="00230DB9" w:rsidRPr="00D758E1">
        <w:rPr>
          <w:szCs w:val="24"/>
        </w:rPr>
        <w:t xml:space="preserve"> to implement sufficient digital accessibility policies and practices</w:t>
      </w:r>
      <w:r w:rsidR="00A27445" w:rsidRPr="00D758E1">
        <w:rPr>
          <w:szCs w:val="24"/>
        </w:rPr>
        <w:t xml:space="preserve">, if courts approve their fees when Plaintiff </w:t>
      </w:r>
      <w:r w:rsidR="0074440D" w:rsidRPr="00D758E1">
        <w:rPr>
          <w:szCs w:val="24"/>
        </w:rPr>
        <w:t>prevail</w:t>
      </w:r>
      <w:r w:rsidR="004C72E7" w:rsidRPr="00D758E1">
        <w:rPr>
          <w:szCs w:val="24"/>
        </w:rPr>
        <w:t>s</w:t>
      </w:r>
      <w:r w:rsidR="00A27445" w:rsidRPr="00D758E1">
        <w:rPr>
          <w:szCs w:val="24"/>
        </w:rPr>
        <w:t>.</w:t>
      </w:r>
      <w:r w:rsidR="004F43B6" w:rsidRPr="00D758E1">
        <w:rPr>
          <w:szCs w:val="24"/>
        </w:rPr>
        <w:t xml:space="preserve"> </w:t>
      </w:r>
      <w:r w:rsidR="00A27445" w:rsidRPr="00D758E1">
        <w:rPr>
          <w:i/>
          <w:iCs/>
          <w:szCs w:val="24"/>
        </w:rPr>
        <w:t>See Hensley</w:t>
      </w:r>
      <w:r w:rsidR="00A27445" w:rsidRPr="00D758E1">
        <w:rPr>
          <w:szCs w:val="24"/>
        </w:rPr>
        <w:t xml:space="preserve">, 461 U.S. </w:t>
      </w:r>
      <w:r w:rsidR="004F43B6" w:rsidRPr="00D758E1">
        <w:rPr>
          <w:szCs w:val="24"/>
        </w:rPr>
        <w:t>at</w:t>
      </w:r>
      <w:r w:rsidR="00A27445" w:rsidRPr="00D758E1">
        <w:rPr>
          <w:szCs w:val="24"/>
        </w:rPr>
        <w:t xml:space="preserve"> 445</w:t>
      </w:r>
      <w:r w:rsidR="004F43B6" w:rsidRPr="00D758E1">
        <w:rPr>
          <w:szCs w:val="24"/>
        </w:rPr>
        <w:t xml:space="preserve"> (</w:t>
      </w:r>
      <w:r w:rsidR="00A27445" w:rsidRPr="00D758E1">
        <w:rPr>
          <w:szCs w:val="24"/>
        </w:rPr>
        <w:t xml:space="preserve">“All of these civil rights laws depend heavily upon private enforcement, and fee awards have proved an essential remedy if private citizens are to have a meaningful opportunity to vindicate the important Congressional policies which these laws contain.”). </w:t>
      </w:r>
      <w:r w:rsidR="0074440D" w:rsidRPr="00D758E1">
        <w:rPr>
          <w:szCs w:val="24"/>
        </w:rPr>
        <w:t>Thus, Class Counsel’s longstanding commitment to Plaintiff and Plaintiff</w:t>
      </w:r>
      <w:r w:rsidR="004C72E7" w:rsidRPr="00D758E1">
        <w:rPr>
          <w:szCs w:val="24"/>
        </w:rPr>
        <w:t>’s</w:t>
      </w:r>
      <w:r w:rsidR="0074440D" w:rsidRPr="00D758E1">
        <w:rPr>
          <w:szCs w:val="24"/>
        </w:rPr>
        <w:t xml:space="preserve"> long-term goal of </w:t>
      </w:r>
      <w:r w:rsidR="00230DB9" w:rsidRPr="00D758E1">
        <w:rPr>
          <w:szCs w:val="24"/>
        </w:rPr>
        <w:t xml:space="preserve">an </w:t>
      </w:r>
      <w:r w:rsidR="0074440D" w:rsidRPr="00D758E1">
        <w:rPr>
          <w:szCs w:val="24"/>
        </w:rPr>
        <w:t xml:space="preserve">accessible </w:t>
      </w:r>
      <w:r w:rsidR="00230DB9" w:rsidRPr="00D758E1">
        <w:rPr>
          <w:szCs w:val="24"/>
        </w:rPr>
        <w:t xml:space="preserve">digital marketplace </w:t>
      </w:r>
      <w:r w:rsidR="0074440D" w:rsidRPr="00D758E1">
        <w:rPr>
          <w:szCs w:val="24"/>
        </w:rPr>
        <w:t>support the requested fee</w:t>
      </w:r>
      <w:r w:rsidR="00F12F39" w:rsidRPr="00D758E1">
        <w:rPr>
          <w:szCs w:val="24"/>
        </w:rPr>
        <w:t>s</w:t>
      </w:r>
      <w:r w:rsidR="0074440D" w:rsidRPr="00D758E1">
        <w:rPr>
          <w:szCs w:val="24"/>
        </w:rPr>
        <w:t>.</w:t>
      </w:r>
    </w:p>
    <w:p w14:paraId="44B17570" w14:textId="75B3011B" w:rsidR="003A5AA6" w:rsidRPr="00917325" w:rsidRDefault="003A5AA6" w:rsidP="00E458A2">
      <w:pPr>
        <w:pStyle w:val="ListParagraph"/>
        <w:keepNext/>
        <w:numPr>
          <w:ilvl w:val="0"/>
          <w:numId w:val="13"/>
        </w:numPr>
        <w:spacing w:after="240"/>
        <w:ind w:left="2160" w:right="720" w:hanging="720"/>
        <w:contextualSpacing w:val="0"/>
        <w:jc w:val="both"/>
        <w:rPr>
          <w:b/>
          <w:bCs/>
          <w:szCs w:val="24"/>
        </w:rPr>
      </w:pPr>
      <w:r w:rsidRPr="00917325">
        <w:rPr>
          <w:b/>
          <w:bCs/>
          <w:szCs w:val="24"/>
        </w:rPr>
        <w:lastRenderedPageBreak/>
        <w:t xml:space="preserve">Fee </w:t>
      </w:r>
      <w:r w:rsidR="00356A9D" w:rsidRPr="00917325">
        <w:rPr>
          <w:b/>
          <w:bCs/>
          <w:szCs w:val="24"/>
        </w:rPr>
        <w:t>a</w:t>
      </w:r>
      <w:r w:rsidRPr="00917325">
        <w:rPr>
          <w:b/>
          <w:bCs/>
          <w:szCs w:val="24"/>
        </w:rPr>
        <w:t xml:space="preserve">wards in </w:t>
      </w:r>
      <w:r w:rsidR="00356A9D" w:rsidRPr="00917325">
        <w:rPr>
          <w:b/>
          <w:bCs/>
          <w:szCs w:val="24"/>
        </w:rPr>
        <w:t>s</w:t>
      </w:r>
      <w:r w:rsidRPr="00917325">
        <w:rPr>
          <w:b/>
          <w:bCs/>
          <w:szCs w:val="24"/>
        </w:rPr>
        <w:t xml:space="preserve">imilar </w:t>
      </w:r>
      <w:r w:rsidR="00356A9D" w:rsidRPr="00917325">
        <w:rPr>
          <w:b/>
          <w:bCs/>
          <w:szCs w:val="24"/>
        </w:rPr>
        <w:t>c</w:t>
      </w:r>
      <w:r w:rsidRPr="00917325">
        <w:rPr>
          <w:b/>
          <w:bCs/>
          <w:szCs w:val="24"/>
        </w:rPr>
        <w:t>ases</w:t>
      </w:r>
    </w:p>
    <w:p w14:paraId="0E414355" w14:textId="2E502D44" w:rsidR="00F07BA4" w:rsidRPr="00583F4C" w:rsidRDefault="003A5AA6" w:rsidP="00646918">
      <w:pPr>
        <w:spacing w:line="480" w:lineRule="auto"/>
        <w:ind w:firstLine="720"/>
        <w:jc w:val="both"/>
        <w:rPr>
          <w:szCs w:val="24"/>
        </w:rPr>
      </w:pPr>
      <w:r w:rsidRPr="002E093F">
        <w:rPr>
          <w:szCs w:val="24"/>
        </w:rPr>
        <w:t xml:space="preserve">The fees sought here are reasonable considering the </w:t>
      </w:r>
      <w:r w:rsidR="00B23D4C" w:rsidRPr="002E093F">
        <w:rPr>
          <w:szCs w:val="24"/>
        </w:rPr>
        <w:t xml:space="preserve">relief obtained for the Settlement Class when compared to </w:t>
      </w:r>
      <w:r w:rsidR="00922937" w:rsidRPr="002E093F">
        <w:rPr>
          <w:szCs w:val="24"/>
        </w:rPr>
        <w:t xml:space="preserve">similar </w:t>
      </w:r>
      <w:r w:rsidR="00B23D4C" w:rsidRPr="002E093F">
        <w:rPr>
          <w:szCs w:val="24"/>
        </w:rPr>
        <w:t>cases</w:t>
      </w:r>
      <w:r w:rsidR="00922937" w:rsidRPr="002E093F">
        <w:rPr>
          <w:szCs w:val="24"/>
        </w:rPr>
        <w:t xml:space="preserve"> brought in this </w:t>
      </w:r>
      <w:r w:rsidR="007C2398" w:rsidRPr="002E093F">
        <w:rPr>
          <w:szCs w:val="24"/>
        </w:rPr>
        <w:t>D</w:t>
      </w:r>
      <w:r w:rsidR="00922937" w:rsidRPr="002E093F">
        <w:rPr>
          <w:szCs w:val="24"/>
        </w:rPr>
        <w:t>istrict</w:t>
      </w:r>
      <w:r w:rsidR="00B23D4C" w:rsidRPr="002E093F">
        <w:rPr>
          <w:szCs w:val="24"/>
        </w:rPr>
        <w:t xml:space="preserve">. </w:t>
      </w:r>
      <w:r w:rsidR="00921A88" w:rsidRPr="002E093F">
        <w:rPr>
          <w:szCs w:val="24"/>
        </w:rPr>
        <w:t xml:space="preserve">For example, </w:t>
      </w:r>
      <w:r w:rsidR="00D66655" w:rsidRPr="002E093F">
        <w:rPr>
          <w:szCs w:val="24"/>
        </w:rPr>
        <w:t>courts</w:t>
      </w:r>
      <w:r w:rsidR="00921A88" w:rsidRPr="002E093F">
        <w:rPr>
          <w:szCs w:val="24"/>
        </w:rPr>
        <w:t xml:space="preserve"> in the Western District of Pennsylvania approved</w:t>
      </w:r>
      <w:r w:rsidR="00EB70B9" w:rsidRPr="002E093F">
        <w:rPr>
          <w:szCs w:val="24"/>
        </w:rPr>
        <w:t xml:space="preserve"> the following attorney</w:t>
      </w:r>
      <w:r w:rsidR="004C72E7" w:rsidRPr="002E093F">
        <w:rPr>
          <w:szCs w:val="24"/>
        </w:rPr>
        <w:t>s’</w:t>
      </w:r>
      <w:r w:rsidR="00EB70B9" w:rsidRPr="002E093F">
        <w:rPr>
          <w:szCs w:val="24"/>
        </w:rPr>
        <w:t xml:space="preserve"> fees </w:t>
      </w:r>
      <w:r w:rsidR="00583F4C" w:rsidRPr="007E3E68">
        <w:rPr>
          <w:szCs w:val="24"/>
        </w:rPr>
        <w:t xml:space="preserve">in the Title III </w:t>
      </w:r>
      <w:r w:rsidR="00583F4C">
        <w:rPr>
          <w:szCs w:val="24"/>
        </w:rPr>
        <w:t>digital accessibility class cases</w:t>
      </w:r>
      <w:r w:rsidR="00583F4C" w:rsidRPr="007E3E68">
        <w:rPr>
          <w:szCs w:val="24"/>
        </w:rPr>
        <w:t xml:space="preserve"> </w:t>
      </w:r>
      <w:r w:rsidR="00583F4C" w:rsidRPr="00583F4C">
        <w:rPr>
          <w:szCs w:val="24"/>
        </w:rPr>
        <w:t>cited above</w:t>
      </w:r>
      <w:r w:rsidR="00921A88" w:rsidRPr="00583F4C">
        <w:rPr>
          <w:szCs w:val="24"/>
        </w:rPr>
        <w:t>:</w:t>
      </w:r>
    </w:p>
    <w:p w14:paraId="555F6056" w14:textId="283BF1AE" w:rsidR="00E15733" w:rsidRPr="00583F4C" w:rsidRDefault="00E15733" w:rsidP="00646918">
      <w:pPr>
        <w:pStyle w:val="ListParagraph"/>
        <w:numPr>
          <w:ilvl w:val="0"/>
          <w:numId w:val="10"/>
        </w:numPr>
        <w:spacing w:after="240"/>
        <w:ind w:left="1080"/>
        <w:contextualSpacing w:val="0"/>
        <w:jc w:val="both"/>
        <w:rPr>
          <w:szCs w:val="24"/>
        </w:rPr>
      </w:pPr>
      <w:r w:rsidRPr="00583F4C">
        <w:rPr>
          <w:szCs w:val="24"/>
        </w:rPr>
        <w:t xml:space="preserve">$47,500 plus $15,000 per extended term in </w:t>
      </w:r>
      <w:r w:rsidRPr="00583F4C">
        <w:rPr>
          <w:i/>
          <w:iCs/>
          <w:szCs w:val="24"/>
        </w:rPr>
        <w:t>Murphy v. The Hundreds Is Huge, Inc.</w:t>
      </w:r>
      <w:r w:rsidRPr="00583F4C">
        <w:rPr>
          <w:szCs w:val="24"/>
        </w:rPr>
        <w:t>, No. 1:21-cv-00204, Doc. 42 at p. 2 (order granting attorneys’ fees</w:t>
      </w:r>
      <w:r w:rsidR="00A329BB">
        <w:rPr>
          <w:szCs w:val="24"/>
        </w:rPr>
        <w:t xml:space="preserve"> in case involving </w:t>
      </w:r>
      <w:r w:rsidR="00A329BB" w:rsidRPr="00A329BB">
        <w:rPr>
          <w:szCs w:val="24"/>
        </w:rPr>
        <w:t>1 website</w:t>
      </w:r>
      <w:r w:rsidRPr="00583F4C">
        <w:rPr>
          <w:szCs w:val="24"/>
        </w:rPr>
        <w:t>) (Lanzillo, J.);</w:t>
      </w:r>
    </w:p>
    <w:p w14:paraId="02058128" w14:textId="5331693D" w:rsidR="00D16543" w:rsidRPr="00583F4C" w:rsidRDefault="00D16543" w:rsidP="00646918">
      <w:pPr>
        <w:pStyle w:val="ListParagraph"/>
        <w:numPr>
          <w:ilvl w:val="0"/>
          <w:numId w:val="10"/>
        </w:numPr>
        <w:spacing w:after="240"/>
        <w:ind w:left="1080"/>
        <w:contextualSpacing w:val="0"/>
        <w:jc w:val="both"/>
        <w:rPr>
          <w:szCs w:val="24"/>
        </w:rPr>
      </w:pPr>
      <w:r w:rsidRPr="00583F4C">
        <w:rPr>
          <w:szCs w:val="24"/>
        </w:rPr>
        <w:t>$45,000 plus $15,000 per extend</w:t>
      </w:r>
      <w:r w:rsidR="00B80A2C" w:rsidRPr="00583F4C">
        <w:rPr>
          <w:szCs w:val="24"/>
        </w:rPr>
        <w:t>ed</w:t>
      </w:r>
      <w:r w:rsidRPr="00583F4C">
        <w:rPr>
          <w:szCs w:val="24"/>
        </w:rPr>
        <w:t xml:space="preserve"> term in </w:t>
      </w:r>
      <w:r w:rsidRPr="00583F4C">
        <w:rPr>
          <w:i/>
          <w:iCs/>
          <w:szCs w:val="24"/>
        </w:rPr>
        <w:t>Douglass v. Optavia LLC</w:t>
      </w:r>
      <w:r w:rsidRPr="00583F4C">
        <w:rPr>
          <w:szCs w:val="24"/>
        </w:rPr>
        <w:t>, No. 2:22-cv-00594, Doc. 39 at p. 2 (</w:t>
      </w:r>
      <w:r w:rsidR="00A329BB">
        <w:rPr>
          <w:szCs w:val="24"/>
        </w:rPr>
        <w:t>same</w:t>
      </w:r>
      <w:r w:rsidRPr="00583F4C">
        <w:rPr>
          <w:szCs w:val="24"/>
        </w:rPr>
        <w:t>) (Wiegand, J.);</w:t>
      </w:r>
    </w:p>
    <w:p w14:paraId="684A5DB3" w14:textId="299F1DAE" w:rsidR="00550037" w:rsidRPr="00583F4C" w:rsidRDefault="00550037" w:rsidP="00646918">
      <w:pPr>
        <w:pStyle w:val="ListParagraph"/>
        <w:numPr>
          <w:ilvl w:val="0"/>
          <w:numId w:val="10"/>
        </w:numPr>
        <w:spacing w:after="240"/>
        <w:ind w:left="1080"/>
        <w:contextualSpacing w:val="0"/>
        <w:jc w:val="both"/>
        <w:rPr>
          <w:szCs w:val="24"/>
        </w:rPr>
      </w:pPr>
      <w:r w:rsidRPr="00583F4C">
        <w:rPr>
          <w:szCs w:val="24"/>
        </w:rPr>
        <w:t xml:space="preserve">$44,000 plus $15,000 per extended term in </w:t>
      </w:r>
      <w:r w:rsidRPr="00583F4C">
        <w:rPr>
          <w:i/>
          <w:iCs/>
          <w:szCs w:val="24"/>
        </w:rPr>
        <w:t>Murphy v. Eyebobs, LLC</w:t>
      </w:r>
      <w:r w:rsidRPr="00583F4C">
        <w:rPr>
          <w:szCs w:val="24"/>
        </w:rPr>
        <w:t>, No. 1:21-cv-00017, Doc. 50 at p. 2 (</w:t>
      </w:r>
      <w:r w:rsidR="00A329BB">
        <w:rPr>
          <w:szCs w:val="24"/>
        </w:rPr>
        <w:t>same</w:t>
      </w:r>
      <w:r w:rsidRPr="00583F4C">
        <w:rPr>
          <w:szCs w:val="24"/>
        </w:rPr>
        <w:t>) (Lanzillo, J.);</w:t>
      </w:r>
      <w:r w:rsidR="00E75F82" w:rsidRPr="00583F4C">
        <w:rPr>
          <w:szCs w:val="24"/>
        </w:rPr>
        <w:t xml:space="preserve"> and</w:t>
      </w:r>
    </w:p>
    <w:p w14:paraId="07498390" w14:textId="584271DA" w:rsidR="00407C30" w:rsidRPr="00583F4C" w:rsidRDefault="00407C30" w:rsidP="00646918">
      <w:pPr>
        <w:pStyle w:val="ListParagraph"/>
        <w:numPr>
          <w:ilvl w:val="0"/>
          <w:numId w:val="10"/>
        </w:numPr>
        <w:spacing w:after="240"/>
        <w:ind w:left="1080"/>
        <w:contextualSpacing w:val="0"/>
        <w:jc w:val="both"/>
        <w:rPr>
          <w:szCs w:val="24"/>
        </w:rPr>
      </w:pPr>
      <w:r w:rsidRPr="00583F4C">
        <w:rPr>
          <w:szCs w:val="24"/>
        </w:rPr>
        <w:t xml:space="preserve">$43,000 plus $15,000 per extended term in </w:t>
      </w:r>
      <w:r w:rsidRPr="00583F4C">
        <w:rPr>
          <w:i/>
          <w:iCs/>
          <w:szCs w:val="24"/>
        </w:rPr>
        <w:t>Murphy v. Charles Tyrwhitt, Inc.</w:t>
      </w:r>
      <w:r w:rsidRPr="00583F4C">
        <w:rPr>
          <w:szCs w:val="24"/>
        </w:rPr>
        <w:t>, No. 1:20-cv-00056, Doc. 48 at p. 2 (</w:t>
      </w:r>
      <w:r w:rsidR="00A329BB">
        <w:rPr>
          <w:szCs w:val="24"/>
        </w:rPr>
        <w:t>same</w:t>
      </w:r>
      <w:r w:rsidRPr="00583F4C">
        <w:rPr>
          <w:szCs w:val="24"/>
        </w:rPr>
        <w:t>) (Baxter, J.)</w:t>
      </w:r>
      <w:r w:rsidR="00E75F82" w:rsidRPr="00583F4C">
        <w:rPr>
          <w:szCs w:val="24"/>
        </w:rPr>
        <w:t>.</w:t>
      </w:r>
    </w:p>
    <w:p w14:paraId="56C480E0" w14:textId="086368E6" w:rsidR="00962B8A" w:rsidRPr="00962B8A" w:rsidRDefault="00D41652" w:rsidP="00646918">
      <w:pPr>
        <w:spacing w:line="480" w:lineRule="auto"/>
        <w:jc w:val="both"/>
        <w:rPr>
          <w:szCs w:val="24"/>
        </w:rPr>
      </w:pPr>
      <w:r>
        <w:rPr>
          <w:szCs w:val="24"/>
        </w:rPr>
        <w:t>C</w:t>
      </w:r>
      <w:r w:rsidR="00583F4C" w:rsidRPr="00962B8A">
        <w:rPr>
          <w:szCs w:val="24"/>
        </w:rPr>
        <w:t xml:space="preserve">ourts in this District </w:t>
      </w:r>
      <w:r>
        <w:rPr>
          <w:szCs w:val="24"/>
        </w:rPr>
        <w:t xml:space="preserve">also </w:t>
      </w:r>
      <w:r w:rsidR="00583F4C" w:rsidRPr="00962B8A">
        <w:rPr>
          <w:szCs w:val="24"/>
        </w:rPr>
        <w:t xml:space="preserve">approved the following </w:t>
      </w:r>
      <w:r w:rsidR="00962B8A" w:rsidRPr="00962B8A">
        <w:rPr>
          <w:szCs w:val="24"/>
        </w:rPr>
        <w:t>attorneys’ fees in other Title III c</w:t>
      </w:r>
      <w:r>
        <w:rPr>
          <w:szCs w:val="24"/>
        </w:rPr>
        <w:t>lass actions</w:t>
      </w:r>
      <w:r w:rsidR="00962B8A" w:rsidRPr="00962B8A">
        <w:rPr>
          <w:szCs w:val="24"/>
        </w:rPr>
        <w:t>:</w:t>
      </w:r>
    </w:p>
    <w:p w14:paraId="4B90FCE6" w14:textId="3D8F5F82" w:rsidR="00962B8A" w:rsidRPr="00A70265" w:rsidRDefault="00962B8A" w:rsidP="00646918">
      <w:pPr>
        <w:pStyle w:val="Default"/>
        <w:numPr>
          <w:ilvl w:val="0"/>
          <w:numId w:val="21"/>
        </w:numPr>
        <w:spacing w:after="240"/>
        <w:ind w:left="1080"/>
        <w:jc w:val="both"/>
        <w:rPr>
          <w:sz w:val="23"/>
          <w:szCs w:val="23"/>
        </w:rPr>
      </w:pPr>
      <w:r w:rsidRPr="00AA71BA">
        <w:rPr>
          <w:sz w:val="23"/>
          <w:szCs w:val="23"/>
        </w:rPr>
        <w:t xml:space="preserve">$400,000 </w:t>
      </w:r>
      <w:r w:rsidR="00AA71BA" w:rsidRPr="00AA71BA">
        <w:t xml:space="preserve">in </w:t>
      </w:r>
      <w:r w:rsidR="00AA71BA" w:rsidRPr="00AA71BA">
        <w:rPr>
          <w:i/>
          <w:iCs/>
        </w:rPr>
        <w:t>Jahoda v. Redbox Automated Retail, LLC</w:t>
      </w:r>
      <w:r w:rsidR="00AA71BA" w:rsidRPr="00AA71BA">
        <w:t>, No. 2:14-cv-01278, Doc. 75 (motion for fees), Doc. 79 (minute entry indicating court found fees reasonable) (</w:t>
      </w:r>
      <w:r w:rsidR="00AA71BA" w:rsidRPr="00A70265">
        <w:t>Lenihan, J.);</w:t>
      </w:r>
    </w:p>
    <w:p w14:paraId="1A0BF8BE" w14:textId="0151D2E8" w:rsidR="00D41652" w:rsidRPr="00A70265" w:rsidRDefault="00D41652" w:rsidP="00646918">
      <w:pPr>
        <w:pStyle w:val="Default"/>
        <w:numPr>
          <w:ilvl w:val="0"/>
          <w:numId w:val="21"/>
        </w:numPr>
        <w:spacing w:after="240"/>
        <w:ind w:left="1080"/>
        <w:jc w:val="both"/>
        <w:rPr>
          <w:sz w:val="23"/>
          <w:szCs w:val="23"/>
        </w:rPr>
      </w:pPr>
      <w:r w:rsidRPr="00A70265">
        <w:rPr>
          <w:sz w:val="23"/>
          <w:szCs w:val="23"/>
        </w:rPr>
        <w:t xml:space="preserve">$385,000 in </w:t>
      </w:r>
      <w:r w:rsidRPr="00A70265">
        <w:rPr>
          <w:i/>
          <w:iCs/>
          <w:sz w:val="23"/>
          <w:szCs w:val="23"/>
        </w:rPr>
        <w:t>Nocera v. Dollar General Corp.</w:t>
      </w:r>
      <w:r w:rsidRPr="00A70265">
        <w:rPr>
          <w:sz w:val="23"/>
          <w:szCs w:val="23"/>
        </w:rPr>
        <w:t>, No. 2:18-cv-01222</w:t>
      </w:r>
      <w:r w:rsidR="00A70265" w:rsidRPr="00A70265">
        <w:rPr>
          <w:sz w:val="23"/>
          <w:szCs w:val="23"/>
        </w:rPr>
        <w:t xml:space="preserve">, Doc. 81 (motion for fees), Doc. </w:t>
      </w:r>
      <w:r w:rsidR="00A70265">
        <w:rPr>
          <w:sz w:val="23"/>
          <w:szCs w:val="23"/>
        </w:rPr>
        <w:t>92</w:t>
      </w:r>
      <w:r w:rsidR="00A70265" w:rsidRPr="00A70265">
        <w:rPr>
          <w:sz w:val="23"/>
          <w:szCs w:val="23"/>
        </w:rPr>
        <w:t xml:space="preserve"> (order granting motion)</w:t>
      </w:r>
      <w:r w:rsidRPr="00A70265">
        <w:rPr>
          <w:sz w:val="23"/>
          <w:szCs w:val="23"/>
        </w:rPr>
        <w:t xml:space="preserve"> (Stickman, J.);</w:t>
      </w:r>
    </w:p>
    <w:p w14:paraId="3B4DBCDF" w14:textId="479C7704" w:rsidR="00D41652" w:rsidRPr="00D41652" w:rsidRDefault="00D41652" w:rsidP="00646918">
      <w:pPr>
        <w:pStyle w:val="Default"/>
        <w:numPr>
          <w:ilvl w:val="0"/>
          <w:numId w:val="21"/>
        </w:numPr>
        <w:spacing w:after="240"/>
        <w:ind w:left="1080"/>
        <w:jc w:val="both"/>
        <w:rPr>
          <w:sz w:val="23"/>
          <w:szCs w:val="23"/>
        </w:rPr>
      </w:pPr>
      <w:r w:rsidRPr="00D41652">
        <w:rPr>
          <w:sz w:val="23"/>
          <w:szCs w:val="23"/>
        </w:rPr>
        <w:t xml:space="preserve">$350,000 in </w:t>
      </w:r>
      <w:r w:rsidRPr="00D41652">
        <w:rPr>
          <w:i/>
          <w:iCs/>
          <w:sz w:val="23"/>
          <w:szCs w:val="23"/>
        </w:rPr>
        <w:t>Dieter v. Aldi, Inc.</w:t>
      </w:r>
      <w:r w:rsidRPr="00D41652">
        <w:rPr>
          <w:sz w:val="23"/>
          <w:szCs w:val="23"/>
        </w:rPr>
        <w:t>, No. 2:18-cv-00846, Doc. 61 (motion for fees), Doc. 64 (order granting motion) (Conti, J.); and</w:t>
      </w:r>
    </w:p>
    <w:p w14:paraId="1442D022" w14:textId="58BDB487" w:rsidR="00962B8A" w:rsidRPr="00CB4F82" w:rsidRDefault="00962B8A" w:rsidP="00646918">
      <w:pPr>
        <w:pStyle w:val="Default"/>
        <w:numPr>
          <w:ilvl w:val="0"/>
          <w:numId w:val="21"/>
        </w:numPr>
        <w:spacing w:after="240"/>
        <w:ind w:left="1080"/>
        <w:jc w:val="both"/>
        <w:rPr>
          <w:sz w:val="23"/>
          <w:szCs w:val="23"/>
        </w:rPr>
      </w:pPr>
      <w:r w:rsidRPr="00CB4F82">
        <w:rPr>
          <w:sz w:val="23"/>
          <w:szCs w:val="23"/>
        </w:rPr>
        <w:t xml:space="preserve">$118,500 in </w:t>
      </w:r>
      <w:r w:rsidRPr="00CB4F82">
        <w:rPr>
          <w:i/>
          <w:iCs/>
          <w:sz w:val="23"/>
          <w:szCs w:val="23"/>
        </w:rPr>
        <w:t>Flynn v. Concord Hosp. Enters. Co.</w:t>
      </w:r>
      <w:r w:rsidRPr="00CB4F82">
        <w:rPr>
          <w:sz w:val="23"/>
          <w:szCs w:val="23"/>
        </w:rPr>
        <w:t>, No. 2:17-cv-01618</w:t>
      </w:r>
      <w:r w:rsidR="00F54D52" w:rsidRPr="00CB4F82">
        <w:rPr>
          <w:sz w:val="23"/>
          <w:szCs w:val="23"/>
        </w:rPr>
        <w:t xml:space="preserve">, </w:t>
      </w:r>
      <w:r w:rsidRPr="00CB4F82">
        <w:rPr>
          <w:sz w:val="23"/>
          <w:szCs w:val="23"/>
        </w:rPr>
        <w:t>Doc. 3</w:t>
      </w:r>
      <w:r w:rsidR="00CB4F82" w:rsidRPr="00CB4F82">
        <w:rPr>
          <w:sz w:val="23"/>
          <w:szCs w:val="23"/>
        </w:rPr>
        <w:t>4</w:t>
      </w:r>
      <w:r w:rsidRPr="00CB4F82">
        <w:rPr>
          <w:sz w:val="23"/>
          <w:szCs w:val="23"/>
        </w:rPr>
        <w:t xml:space="preserve"> (motion for fees)</w:t>
      </w:r>
      <w:r w:rsidR="00F54D52" w:rsidRPr="00CB4F82">
        <w:rPr>
          <w:sz w:val="23"/>
          <w:szCs w:val="23"/>
        </w:rPr>
        <w:t xml:space="preserve">, Doc. </w:t>
      </w:r>
      <w:r w:rsidRPr="00CB4F82">
        <w:rPr>
          <w:sz w:val="23"/>
          <w:szCs w:val="23"/>
        </w:rPr>
        <w:t>39 (</w:t>
      </w:r>
      <w:r w:rsidR="00F54D52" w:rsidRPr="00CB4F82">
        <w:rPr>
          <w:sz w:val="23"/>
          <w:szCs w:val="23"/>
        </w:rPr>
        <w:t>o</w:t>
      </w:r>
      <w:r w:rsidRPr="00CB4F82">
        <w:rPr>
          <w:sz w:val="23"/>
          <w:szCs w:val="23"/>
        </w:rPr>
        <w:t>rder granting motion)</w:t>
      </w:r>
      <w:r w:rsidR="00F54D52" w:rsidRPr="00CB4F82">
        <w:rPr>
          <w:sz w:val="23"/>
          <w:szCs w:val="23"/>
        </w:rPr>
        <w:t xml:space="preserve"> (Lenihan, J.)</w:t>
      </w:r>
      <w:r w:rsidR="00D41652" w:rsidRPr="00CB4F82">
        <w:rPr>
          <w:sz w:val="23"/>
          <w:szCs w:val="23"/>
        </w:rPr>
        <w:t>.</w:t>
      </w:r>
    </w:p>
    <w:p w14:paraId="413D2F56" w14:textId="0816A9A4" w:rsidR="00921A88" w:rsidRPr="009571C8" w:rsidRDefault="00922937" w:rsidP="00646918">
      <w:pPr>
        <w:spacing w:line="480" w:lineRule="auto"/>
        <w:ind w:firstLine="720"/>
        <w:jc w:val="both"/>
        <w:rPr>
          <w:szCs w:val="24"/>
        </w:rPr>
      </w:pPr>
      <w:r w:rsidRPr="009571C8">
        <w:rPr>
          <w:szCs w:val="24"/>
        </w:rPr>
        <w:t xml:space="preserve">For the foregoing reasons, </w:t>
      </w:r>
      <w:r w:rsidR="00572468" w:rsidRPr="009571C8">
        <w:rPr>
          <w:szCs w:val="24"/>
        </w:rPr>
        <w:t xml:space="preserve">the </w:t>
      </w:r>
      <w:r w:rsidR="00572468" w:rsidRPr="009571C8">
        <w:rPr>
          <w:i/>
          <w:iCs/>
          <w:szCs w:val="24"/>
        </w:rPr>
        <w:t xml:space="preserve">Johnson </w:t>
      </w:r>
      <w:r w:rsidR="00572468" w:rsidRPr="009571C8">
        <w:rPr>
          <w:szCs w:val="24"/>
        </w:rPr>
        <w:t xml:space="preserve">factors support </w:t>
      </w:r>
      <w:r w:rsidRPr="009571C8">
        <w:rPr>
          <w:szCs w:val="24"/>
        </w:rPr>
        <w:t>Plaintiff</w:t>
      </w:r>
      <w:r w:rsidR="00572468" w:rsidRPr="009571C8">
        <w:rPr>
          <w:szCs w:val="24"/>
        </w:rPr>
        <w:t>’s</w:t>
      </w:r>
      <w:r w:rsidRPr="009571C8">
        <w:rPr>
          <w:szCs w:val="24"/>
        </w:rPr>
        <w:t xml:space="preserve"> </w:t>
      </w:r>
      <w:r w:rsidR="00D66655" w:rsidRPr="009571C8">
        <w:rPr>
          <w:szCs w:val="24"/>
        </w:rPr>
        <w:t xml:space="preserve">request for </w:t>
      </w:r>
      <w:r w:rsidRPr="009571C8">
        <w:rPr>
          <w:szCs w:val="24"/>
        </w:rPr>
        <w:t>$</w:t>
      </w:r>
      <w:r w:rsidR="009571C8" w:rsidRPr="009571C8">
        <w:rPr>
          <w:szCs w:val="24"/>
        </w:rPr>
        <w:t>73</w:t>
      </w:r>
      <w:r w:rsidR="00FB5BE6" w:rsidRPr="009571C8">
        <w:rPr>
          <w:szCs w:val="24"/>
        </w:rPr>
        <w:t>,</w:t>
      </w:r>
      <w:r w:rsidR="009571C8" w:rsidRPr="009571C8">
        <w:rPr>
          <w:szCs w:val="24"/>
        </w:rPr>
        <w:t>5</w:t>
      </w:r>
      <w:r w:rsidR="00CF4DAC" w:rsidRPr="009571C8">
        <w:rPr>
          <w:szCs w:val="24"/>
        </w:rPr>
        <w:t>00</w:t>
      </w:r>
      <w:r w:rsidR="00572468" w:rsidRPr="009571C8">
        <w:rPr>
          <w:szCs w:val="24"/>
        </w:rPr>
        <w:t>.00</w:t>
      </w:r>
      <w:r w:rsidRPr="009571C8">
        <w:rPr>
          <w:szCs w:val="24"/>
        </w:rPr>
        <w:t xml:space="preserve"> in attorneys</w:t>
      </w:r>
      <w:r w:rsidR="004C72E7" w:rsidRPr="009571C8">
        <w:rPr>
          <w:szCs w:val="24"/>
        </w:rPr>
        <w:t>’</w:t>
      </w:r>
      <w:r w:rsidRPr="009571C8">
        <w:rPr>
          <w:szCs w:val="24"/>
        </w:rPr>
        <w:t xml:space="preserve"> fees</w:t>
      </w:r>
      <w:r w:rsidR="00A329BB">
        <w:rPr>
          <w:szCs w:val="24"/>
        </w:rPr>
        <w:t xml:space="preserve"> in this case, which obligates Defendant to remedy 29 separate websites.</w:t>
      </w:r>
    </w:p>
    <w:p w14:paraId="5FB29A0B" w14:textId="6A41543F" w:rsidR="00BD57E1" w:rsidRPr="0064555F" w:rsidRDefault="00BD57E1" w:rsidP="00E458A2">
      <w:pPr>
        <w:pStyle w:val="ListParagraph"/>
        <w:keepNext/>
        <w:numPr>
          <w:ilvl w:val="0"/>
          <w:numId w:val="7"/>
        </w:numPr>
        <w:ind w:right="720" w:hanging="720"/>
        <w:rPr>
          <w:szCs w:val="24"/>
        </w:rPr>
      </w:pPr>
      <w:r w:rsidRPr="00376439">
        <w:rPr>
          <w:b/>
          <w:bCs/>
          <w:szCs w:val="24"/>
        </w:rPr>
        <w:lastRenderedPageBreak/>
        <w:t xml:space="preserve">THE INCENTIVE AWARD IS REASONABLE AND SHOULD BE </w:t>
      </w:r>
      <w:r w:rsidRPr="0064555F">
        <w:rPr>
          <w:b/>
          <w:bCs/>
          <w:szCs w:val="24"/>
        </w:rPr>
        <w:t>APPROVED</w:t>
      </w:r>
    </w:p>
    <w:p w14:paraId="30A2F40E" w14:textId="77777777" w:rsidR="00C05AC4" w:rsidRPr="0064555F" w:rsidRDefault="00C05AC4" w:rsidP="00B3601D">
      <w:pPr>
        <w:pStyle w:val="ListParagraph"/>
        <w:keepNext/>
        <w:ind w:right="720"/>
        <w:jc w:val="both"/>
        <w:rPr>
          <w:szCs w:val="24"/>
        </w:rPr>
      </w:pPr>
    </w:p>
    <w:p w14:paraId="0BCC0EA2" w14:textId="313A7158" w:rsidR="00916F3D" w:rsidRPr="0064555F" w:rsidRDefault="00C07546" w:rsidP="00B3601D">
      <w:pPr>
        <w:keepNext/>
        <w:spacing w:line="480" w:lineRule="auto"/>
        <w:ind w:firstLine="720"/>
        <w:jc w:val="both"/>
        <w:rPr>
          <w:szCs w:val="24"/>
        </w:rPr>
      </w:pPr>
      <w:r w:rsidRPr="0064555F">
        <w:rPr>
          <w:szCs w:val="24"/>
        </w:rPr>
        <w:t>Pursuant to</w:t>
      </w:r>
      <w:r w:rsidR="00BD57E1" w:rsidRPr="0064555F">
        <w:rPr>
          <w:szCs w:val="24"/>
        </w:rPr>
        <w:t xml:space="preserve"> the Agreement, </w:t>
      </w:r>
      <w:r w:rsidR="00CF4DAC" w:rsidRPr="0064555F">
        <w:rPr>
          <w:szCs w:val="24"/>
        </w:rPr>
        <w:t>Defendant</w:t>
      </w:r>
      <w:r w:rsidR="00916F3D" w:rsidRPr="0064555F">
        <w:rPr>
          <w:szCs w:val="24"/>
        </w:rPr>
        <w:t xml:space="preserve"> </w:t>
      </w:r>
      <w:r w:rsidR="00BD57E1" w:rsidRPr="0064555F">
        <w:rPr>
          <w:szCs w:val="24"/>
        </w:rPr>
        <w:t xml:space="preserve">agreed to pay </w:t>
      </w:r>
      <w:r w:rsidR="006A7520" w:rsidRPr="0064555F">
        <w:rPr>
          <w:szCs w:val="24"/>
        </w:rPr>
        <w:t xml:space="preserve">Plaintiff </w:t>
      </w:r>
      <w:r w:rsidRPr="0064555F">
        <w:rPr>
          <w:szCs w:val="24"/>
        </w:rPr>
        <w:t>a</w:t>
      </w:r>
      <w:r w:rsidR="00BD57E1" w:rsidRPr="0064555F">
        <w:rPr>
          <w:szCs w:val="24"/>
        </w:rPr>
        <w:t xml:space="preserve"> $1,</w:t>
      </w:r>
      <w:r w:rsidR="0064555F" w:rsidRPr="0064555F">
        <w:rPr>
          <w:szCs w:val="24"/>
        </w:rPr>
        <w:t>5</w:t>
      </w:r>
      <w:r w:rsidR="00BD57E1" w:rsidRPr="0064555F">
        <w:rPr>
          <w:szCs w:val="24"/>
        </w:rPr>
        <w:t>00</w:t>
      </w:r>
      <w:r w:rsidR="00D66655" w:rsidRPr="0064555F">
        <w:rPr>
          <w:szCs w:val="24"/>
        </w:rPr>
        <w:t>.00</w:t>
      </w:r>
      <w:r w:rsidR="00BD57E1" w:rsidRPr="0064555F">
        <w:rPr>
          <w:szCs w:val="24"/>
        </w:rPr>
        <w:t xml:space="preserve"> incentive award, subject to Court approval, for </w:t>
      </w:r>
      <w:r w:rsidR="00C2242F" w:rsidRPr="0064555F">
        <w:rPr>
          <w:szCs w:val="24"/>
        </w:rPr>
        <w:t>his</w:t>
      </w:r>
      <w:r w:rsidR="00BD57E1" w:rsidRPr="0064555F">
        <w:rPr>
          <w:szCs w:val="24"/>
        </w:rPr>
        <w:t xml:space="preserve"> efforts on behalf of the Settlement Class. (</w:t>
      </w:r>
      <w:r w:rsidR="004A66A0" w:rsidRPr="0064555F">
        <w:rPr>
          <w:szCs w:val="24"/>
        </w:rPr>
        <w:t xml:space="preserve">Doc. </w:t>
      </w:r>
      <w:r w:rsidR="0064555F" w:rsidRPr="0064555F">
        <w:rPr>
          <w:szCs w:val="24"/>
        </w:rPr>
        <w:t>12</w:t>
      </w:r>
      <w:r w:rsidR="004A66A0" w:rsidRPr="0064555F">
        <w:rPr>
          <w:szCs w:val="24"/>
        </w:rPr>
        <w:t>-1</w:t>
      </w:r>
      <w:r w:rsidRPr="0064555F">
        <w:rPr>
          <w:szCs w:val="24"/>
        </w:rPr>
        <w:t>,</w:t>
      </w:r>
      <w:r w:rsidR="00BD57E1" w:rsidRPr="0064555F">
        <w:rPr>
          <w:szCs w:val="24"/>
        </w:rPr>
        <w:t xml:space="preserve"> § </w:t>
      </w:r>
      <w:r w:rsidR="00D16543" w:rsidRPr="0064555F">
        <w:rPr>
          <w:szCs w:val="24"/>
        </w:rPr>
        <w:t>2</w:t>
      </w:r>
      <w:r w:rsidR="0064555F" w:rsidRPr="0064555F">
        <w:rPr>
          <w:szCs w:val="24"/>
        </w:rPr>
        <w:t>0.1</w:t>
      </w:r>
      <w:r w:rsidR="00BD57E1" w:rsidRPr="0064555F">
        <w:rPr>
          <w:szCs w:val="24"/>
        </w:rPr>
        <w:t>.)</w:t>
      </w:r>
      <w:r w:rsidR="0012725E" w:rsidRPr="0064555F">
        <w:rPr>
          <w:szCs w:val="24"/>
        </w:rPr>
        <w:t xml:space="preserve"> </w:t>
      </w:r>
      <w:r w:rsidR="00BD57E1" w:rsidRPr="0064555F">
        <w:rPr>
          <w:szCs w:val="24"/>
        </w:rPr>
        <w:t xml:space="preserve">An incentive award for bringing and litigating this case on behalf of the </w:t>
      </w:r>
      <w:r w:rsidR="006A7520" w:rsidRPr="0064555F">
        <w:rPr>
          <w:szCs w:val="24"/>
        </w:rPr>
        <w:t>c</w:t>
      </w:r>
      <w:r w:rsidR="00BD57E1" w:rsidRPr="0064555F">
        <w:rPr>
          <w:szCs w:val="24"/>
        </w:rPr>
        <w:t>lass is</w:t>
      </w:r>
      <w:r w:rsidR="00FF330E" w:rsidRPr="0064555F">
        <w:rPr>
          <w:szCs w:val="24"/>
        </w:rPr>
        <w:t xml:space="preserve"> </w:t>
      </w:r>
      <w:r w:rsidR="00BD57E1" w:rsidRPr="0064555F">
        <w:rPr>
          <w:szCs w:val="24"/>
        </w:rPr>
        <w:t>permissible and promotes the public policy of encouraging individuals to undertake the</w:t>
      </w:r>
      <w:r w:rsidR="00905F0F" w:rsidRPr="0064555F">
        <w:rPr>
          <w:szCs w:val="24"/>
        </w:rPr>
        <w:t xml:space="preserve"> </w:t>
      </w:r>
      <w:r w:rsidR="00BD57E1" w:rsidRPr="0064555F">
        <w:rPr>
          <w:szCs w:val="24"/>
        </w:rPr>
        <w:t xml:space="preserve">responsibility of representative lawsuits. </w:t>
      </w:r>
      <w:r w:rsidR="00356A00" w:rsidRPr="0064555F">
        <w:rPr>
          <w:i/>
          <w:iCs/>
          <w:szCs w:val="24"/>
        </w:rPr>
        <w:t>See, e.g.</w:t>
      </w:r>
      <w:r w:rsidR="00356A00" w:rsidRPr="0064555F">
        <w:rPr>
          <w:szCs w:val="24"/>
        </w:rPr>
        <w:t xml:space="preserve">, </w:t>
      </w:r>
      <w:r w:rsidR="00BD57E1" w:rsidRPr="0064555F">
        <w:rPr>
          <w:szCs w:val="24"/>
        </w:rPr>
        <w:t>Manual for Complex Litigation</w:t>
      </w:r>
      <w:r w:rsidR="00C7346A" w:rsidRPr="0064555F">
        <w:rPr>
          <w:szCs w:val="24"/>
        </w:rPr>
        <w:t xml:space="preserve"> (Fourth)</w:t>
      </w:r>
      <w:r w:rsidR="00BD57E1" w:rsidRPr="0064555F">
        <w:rPr>
          <w:szCs w:val="24"/>
        </w:rPr>
        <w:t xml:space="preserve"> § 21.62 n.971 (2004).</w:t>
      </w:r>
    </w:p>
    <w:p w14:paraId="2BF69758" w14:textId="6FE3309A" w:rsidR="00905F0F" w:rsidRPr="001808C0" w:rsidRDefault="00BD57E1" w:rsidP="004F46C0">
      <w:pPr>
        <w:keepNext/>
        <w:spacing w:line="480" w:lineRule="auto"/>
        <w:ind w:firstLine="720"/>
        <w:jc w:val="both"/>
        <w:rPr>
          <w:szCs w:val="24"/>
        </w:rPr>
      </w:pPr>
      <w:r w:rsidRPr="0064555F">
        <w:rPr>
          <w:szCs w:val="24"/>
        </w:rPr>
        <w:t xml:space="preserve">Here, but for </w:t>
      </w:r>
      <w:r w:rsidR="00905F0F" w:rsidRPr="0064555F">
        <w:rPr>
          <w:szCs w:val="24"/>
        </w:rPr>
        <w:t>Plaintiff’</w:t>
      </w:r>
      <w:r w:rsidR="004C72E7" w:rsidRPr="0064555F">
        <w:rPr>
          <w:szCs w:val="24"/>
        </w:rPr>
        <w:t>s</w:t>
      </w:r>
      <w:r w:rsidRPr="0064555F">
        <w:rPr>
          <w:szCs w:val="24"/>
        </w:rPr>
        <w:t xml:space="preserve"> effort</w:t>
      </w:r>
      <w:r w:rsidR="00905F0F" w:rsidRPr="0064555F">
        <w:rPr>
          <w:szCs w:val="24"/>
        </w:rPr>
        <w:t xml:space="preserve">s, </w:t>
      </w:r>
      <w:r w:rsidRPr="0064555F">
        <w:rPr>
          <w:szCs w:val="24"/>
        </w:rPr>
        <w:t xml:space="preserve">the </w:t>
      </w:r>
      <w:r w:rsidR="006A7520" w:rsidRPr="0064555F">
        <w:rPr>
          <w:szCs w:val="24"/>
        </w:rPr>
        <w:t>c</w:t>
      </w:r>
      <w:r w:rsidRPr="0064555F">
        <w:rPr>
          <w:szCs w:val="24"/>
        </w:rPr>
        <w:t>lass would have received nothing</w:t>
      </w:r>
      <w:r w:rsidR="00905F0F" w:rsidRPr="0064555F">
        <w:rPr>
          <w:szCs w:val="24"/>
        </w:rPr>
        <w:t xml:space="preserve"> in the way of a </w:t>
      </w:r>
      <w:r w:rsidR="006A7520" w:rsidRPr="0064555F">
        <w:rPr>
          <w:szCs w:val="24"/>
        </w:rPr>
        <w:t>judicially</w:t>
      </w:r>
      <w:r w:rsidR="00905F0F" w:rsidRPr="0064555F">
        <w:rPr>
          <w:szCs w:val="24"/>
        </w:rPr>
        <w:t xml:space="preserve">-approved, legally enforceable change in </w:t>
      </w:r>
      <w:r w:rsidR="004F46C0" w:rsidRPr="0064555F">
        <w:rPr>
          <w:szCs w:val="24"/>
        </w:rPr>
        <w:t>Defendant’s</w:t>
      </w:r>
      <w:r w:rsidR="004C72E7" w:rsidRPr="0064555F">
        <w:rPr>
          <w:szCs w:val="24"/>
        </w:rPr>
        <w:t xml:space="preserve"> </w:t>
      </w:r>
      <w:r w:rsidR="00905F0F" w:rsidRPr="0064555F">
        <w:rPr>
          <w:szCs w:val="24"/>
        </w:rPr>
        <w:t>accessibility policies and practices.</w:t>
      </w:r>
      <w:r w:rsidR="004F46C0" w:rsidRPr="0064555F">
        <w:rPr>
          <w:szCs w:val="24"/>
        </w:rPr>
        <w:t xml:space="preserve"> </w:t>
      </w:r>
      <w:r w:rsidR="00905F0F" w:rsidRPr="0064555F">
        <w:rPr>
          <w:szCs w:val="24"/>
        </w:rPr>
        <w:t>Plaintiff ha</w:t>
      </w:r>
      <w:r w:rsidR="004C72E7" w:rsidRPr="0064555F">
        <w:rPr>
          <w:szCs w:val="24"/>
        </w:rPr>
        <w:t>s</w:t>
      </w:r>
      <w:r w:rsidR="00905F0F" w:rsidRPr="0064555F">
        <w:rPr>
          <w:szCs w:val="24"/>
        </w:rPr>
        <w:t xml:space="preserve"> been </w:t>
      </w:r>
      <w:r w:rsidR="004C72E7" w:rsidRPr="0064555F">
        <w:rPr>
          <w:szCs w:val="24"/>
        </w:rPr>
        <w:t xml:space="preserve">an </w:t>
      </w:r>
      <w:r w:rsidR="00905F0F" w:rsidRPr="0064555F">
        <w:rPr>
          <w:szCs w:val="24"/>
        </w:rPr>
        <w:t xml:space="preserve">active </w:t>
      </w:r>
      <w:r w:rsidR="00843739" w:rsidRPr="0064555F">
        <w:rPr>
          <w:szCs w:val="24"/>
        </w:rPr>
        <w:t xml:space="preserve">participant in this action, even before it was filed. Plaintiff attempted to browse </w:t>
      </w:r>
      <w:r w:rsidR="004F46C0" w:rsidRPr="0064555F">
        <w:rPr>
          <w:szCs w:val="24"/>
        </w:rPr>
        <w:t>Defendant’s</w:t>
      </w:r>
      <w:r w:rsidR="00916F3D" w:rsidRPr="0064555F">
        <w:rPr>
          <w:szCs w:val="24"/>
        </w:rPr>
        <w:t xml:space="preserve"> </w:t>
      </w:r>
      <w:r w:rsidR="00843739" w:rsidRPr="0064555F">
        <w:rPr>
          <w:szCs w:val="24"/>
        </w:rPr>
        <w:t>online store</w:t>
      </w:r>
      <w:r w:rsidR="0064555F" w:rsidRPr="0064555F">
        <w:rPr>
          <w:szCs w:val="24"/>
        </w:rPr>
        <w:t>s</w:t>
      </w:r>
      <w:r w:rsidR="00843739" w:rsidRPr="0064555F">
        <w:rPr>
          <w:szCs w:val="24"/>
        </w:rPr>
        <w:t xml:space="preserve">, where </w:t>
      </w:r>
      <w:r w:rsidR="004C72E7" w:rsidRPr="0064555F">
        <w:rPr>
          <w:szCs w:val="24"/>
        </w:rPr>
        <w:t xml:space="preserve">he </w:t>
      </w:r>
      <w:r w:rsidR="00843739" w:rsidRPr="0064555F">
        <w:rPr>
          <w:szCs w:val="24"/>
        </w:rPr>
        <w:t xml:space="preserve">encountered communication barriers that denied </w:t>
      </w:r>
      <w:r w:rsidR="004C72E7" w:rsidRPr="0064555F">
        <w:rPr>
          <w:szCs w:val="24"/>
        </w:rPr>
        <w:t>hi</w:t>
      </w:r>
      <w:r w:rsidR="00106695" w:rsidRPr="0064555F">
        <w:rPr>
          <w:szCs w:val="24"/>
        </w:rPr>
        <w:t>m</w:t>
      </w:r>
      <w:r w:rsidR="004C72E7" w:rsidRPr="0064555F">
        <w:rPr>
          <w:szCs w:val="24"/>
        </w:rPr>
        <w:t xml:space="preserve"> </w:t>
      </w:r>
      <w:r w:rsidR="00843739" w:rsidRPr="0064555F">
        <w:rPr>
          <w:szCs w:val="24"/>
        </w:rPr>
        <w:t xml:space="preserve">full and equal access. Plaintiff compared </w:t>
      </w:r>
      <w:r w:rsidR="004C72E7" w:rsidRPr="0064555F">
        <w:rPr>
          <w:szCs w:val="24"/>
        </w:rPr>
        <w:t xml:space="preserve">his </w:t>
      </w:r>
      <w:r w:rsidR="00843739" w:rsidRPr="0064555F">
        <w:rPr>
          <w:szCs w:val="24"/>
        </w:rPr>
        <w:t>personal experienc</w:t>
      </w:r>
      <w:r w:rsidR="00106695" w:rsidRPr="0064555F">
        <w:rPr>
          <w:szCs w:val="24"/>
        </w:rPr>
        <w:t>e</w:t>
      </w:r>
      <w:r w:rsidR="00843739" w:rsidRPr="0064555F">
        <w:rPr>
          <w:szCs w:val="24"/>
        </w:rPr>
        <w:t xml:space="preserve"> with the results of Class Counsel’s own accessibility investigations and </w:t>
      </w:r>
      <w:r w:rsidR="004F46C0" w:rsidRPr="0064555F">
        <w:rPr>
          <w:szCs w:val="24"/>
        </w:rPr>
        <w:t xml:space="preserve">approved </w:t>
      </w:r>
      <w:r w:rsidR="00843739" w:rsidRPr="0064555F">
        <w:rPr>
          <w:szCs w:val="24"/>
        </w:rPr>
        <w:t xml:space="preserve">Class Counsel’s filing of this action on </w:t>
      </w:r>
      <w:r w:rsidR="004C72E7" w:rsidRPr="0064555F">
        <w:rPr>
          <w:szCs w:val="24"/>
        </w:rPr>
        <w:t xml:space="preserve">his </w:t>
      </w:r>
      <w:r w:rsidR="00843739" w:rsidRPr="0064555F">
        <w:rPr>
          <w:szCs w:val="24"/>
        </w:rPr>
        <w:t xml:space="preserve">behalf. Plaintiff </w:t>
      </w:r>
      <w:r w:rsidR="00EB70B9" w:rsidRPr="0064555F">
        <w:rPr>
          <w:szCs w:val="24"/>
        </w:rPr>
        <w:t>ha</w:t>
      </w:r>
      <w:r w:rsidR="004C72E7" w:rsidRPr="0064555F">
        <w:rPr>
          <w:szCs w:val="24"/>
        </w:rPr>
        <w:t>s</w:t>
      </w:r>
      <w:r w:rsidR="00EB70B9" w:rsidRPr="0064555F">
        <w:rPr>
          <w:szCs w:val="24"/>
        </w:rPr>
        <w:t xml:space="preserve"> reviewed the pleadings </w:t>
      </w:r>
      <w:r w:rsidR="0064555F" w:rsidRPr="0064555F">
        <w:rPr>
          <w:szCs w:val="24"/>
        </w:rPr>
        <w:t xml:space="preserve">and the Agreement </w:t>
      </w:r>
      <w:r w:rsidR="00EB70B9" w:rsidRPr="0064555F">
        <w:rPr>
          <w:szCs w:val="24"/>
        </w:rPr>
        <w:t xml:space="preserve">and </w:t>
      </w:r>
      <w:r w:rsidR="004C72E7" w:rsidRPr="0064555F">
        <w:rPr>
          <w:szCs w:val="24"/>
        </w:rPr>
        <w:t xml:space="preserve">is </w:t>
      </w:r>
      <w:r w:rsidR="00EB70B9" w:rsidRPr="0064555F">
        <w:rPr>
          <w:szCs w:val="24"/>
        </w:rPr>
        <w:t xml:space="preserve">familiar with the lawsuit and </w:t>
      </w:r>
      <w:r w:rsidR="004C72E7" w:rsidRPr="0064555F">
        <w:rPr>
          <w:szCs w:val="24"/>
        </w:rPr>
        <w:t xml:space="preserve">his </w:t>
      </w:r>
      <w:r w:rsidR="00EB70B9" w:rsidRPr="0064555F">
        <w:rPr>
          <w:szCs w:val="24"/>
        </w:rPr>
        <w:t xml:space="preserve">duties as class </w:t>
      </w:r>
      <w:r w:rsidR="00EB70B9" w:rsidRPr="001808C0">
        <w:rPr>
          <w:szCs w:val="24"/>
        </w:rPr>
        <w:t xml:space="preserve">representative. </w:t>
      </w:r>
      <w:r w:rsidR="00106695" w:rsidRPr="001808C0">
        <w:rPr>
          <w:szCs w:val="24"/>
        </w:rPr>
        <w:t>(</w:t>
      </w:r>
      <w:r w:rsidR="00EB70B9" w:rsidRPr="001808C0">
        <w:rPr>
          <w:szCs w:val="24"/>
        </w:rPr>
        <w:t>Tucker Decl.</w:t>
      </w:r>
      <w:r w:rsidR="00106695" w:rsidRPr="001808C0">
        <w:rPr>
          <w:szCs w:val="24"/>
        </w:rPr>
        <w:t xml:space="preserve">, </w:t>
      </w:r>
      <w:r w:rsidR="00EB70B9" w:rsidRPr="001808C0">
        <w:rPr>
          <w:szCs w:val="24"/>
        </w:rPr>
        <w:t xml:space="preserve">¶ </w:t>
      </w:r>
      <w:r w:rsidR="00945704" w:rsidRPr="001808C0">
        <w:rPr>
          <w:szCs w:val="24"/>
        </w:rPr>
        <w:t>1</w:t>
      </w:r>
      <w:r w:rsidR="0064555F" w:rsidRPr="001808C0">
        <w:rPr>
          <w:szCs w:val="24"/>
        </w:rPr>
        <w:t>2</w:t>
      </w:r>
      <w:r w:rsidR="00EB70B9" w:rsidRPr="001808C0">
        <w:rPr>
          <w:szCs w:val="24"/>
        </w:rPr>
        <w:t>.</w:t>
      </w:r>
      <w:r w:rsidR="00106695" w:rsidRPr="001808C0">
        <w:rPr>
          <w:szCs w:val="24"/>
        </w:rPr>
        <w:t>)</w:t>
      </w:r>
    </w:p>
    <w:p w14:paraId="3E50A441" w14:textId="25661E01" w:rsidR="00EB70B9" w:rsidRPr="007E3E68" w:rsidRDefault="00EB70B9" w:rsidP="005142E5">
      <w:pPr>
        <w:spacing w:line="480" w:lineRule="auto"/>
        <w:ind w:firstLine="720"/>
        <w:jc w:val="both"/>
        <w:rPr>
          <w:szCs w:val="24"/>
        </w:rPr>
      </w:pPr>
      <w:r w:rsidRPr="001808C0">
        <w:rPr>
          <w:szCs w:val="24"/>
        </w:rPr>
        <w:t>Plaintiff’</w:t>
      </w:r>
      <w:r w:rsidR="004C72E7" w:rsidRPr="001808C0">
        <w:rPr>
          <w:szCs w:val="24"/>
        </w:rPr>
        <w:t>s</w:t>
      </w:r>
      <w:r w:rsidRPr="001808C0">
        <w:rPr>
          <w:szCs w:val="24"/>
        </w:rPr>
        <w:t xml:space="preserve"> participation on behalf of the </w:t>
      </w:r>
      <w:r w:rsidR="00C05AC4" w:rsidRPr="001808C0">
        <w:rPr>
          <w:szCs w:val="24"/>
        </w:rPr>
        <w:t xml:space="preserve">Settlement Class </w:t>
      </w:r>
      <w:r w:rsidRPr="001808C0">
        <w:rPr>
          <w:szCs w:val="24"/>
        </w:rPr>
        <w:t xml:space="preserve">and the results </w:t>
      </w:r>
      <w:r w:rsidR="00C05AC4" w:rsidRPr="001808C0">
        <w:rPr>
          <w:szCs w:val="24"/>
        </w:rPr>
        <w:t xml:space="preserve">Plaintiff </w:t>
      </w:r>
      <w:r w:rsidRPr="001808C0">
        <w:rPr>
          <w:szCs w:val="24"/>
        </w:rPr>
        <w:t>achieved justif</w:t>
      </w:r>
      <w:r w:rsidR="00C05AC4" w:rsidRPr="001808C0">
        <w:rPr>
          <w:szCs w:val="24"/>
        </w:rPr>
        <w:t>y</w:t>
      </w:r>
      <w:r w:rsidRPr="001808C0">
        <w:rPr>
          <w:szCs w:val="24"/>
        </w:rPr>
        <w:t xml:space="preserve"> an incentive award of $1,</w:t>
      </w:r>
      <w:r w:rsidR="001808C0" w:rsidRPr="001808C0">
        <w:rPr>
          <w:szCs w:val="24"/>
        </w:rPr>
        <w:t>5</w:t>
      </w:r>
      <w:r w:rsidRPr="001808C0">
        <w:rPr>
          <w:szCs w:val="24"/>
        </w:rPr>
        <w:t>00</w:t>
      </w:r>
      <w:r w:rsidR="00D66655" w:rsidRPr="001808C0">
        <w:rPr>
          <w:szCs w:val="24"/>
        </w:rPr>
        <w:t>.00</w:t>
      </w:r>
      <w:r w:rsidRPr="001808C0">
        <w:rPr>
          <w:szCs w:val="24"/>
        </w:rPr>
        <w:t xml:space="preserve">, which is reasonable when compared to similar cases brought in this </w:t>
      </w:r>
      <w:r w:rsidR="007C2398" w:rsidRPr="001808C0">
        <w:rPr>
          <w:szCs w:val="24"/>
        </w:rPr>
        <w:t>D</w:t>
      </w:r>
      <w:r w:rsidRPr="00C8661E">
        <w:rPr>
          <w:szCs w:val="24"/>
        </w:rPr>
        <w:t xml:space="preserve">istrict. For example, </w:t>
      </w:r>
      <w:r w:rsidR="004C5100">
        <w:rPr>
          <w:szCs w:val="24"/>
        </w:rPr>
        <w:t>judge</w:t>
      </w:r>
      <w:r w:rsidR="00D66655" w:rsidRPr="00C8661E">
        <w:rPr>
          <w:szCs w:val="24"/>
        </w:rPr>
        <w:t>s</w:t>
      </w:r>
      <w:r w:rsidRPr="00C8661E">
        <w:rPr>
          <w:szCs w:val="24"/>
        </w:rPr>
        <w:t xml:space="preserve"> in the Western District of Pennsylvania approved the following incentive </w:t>
      </w:r>
      <w:r w:rsidRPr="007E3E68">
        <w:rPr>
          <w:szCs w:val="24"/>
        </w:rPr>
        <w:t>awards</w:t>
      </w:r>
      <w:r w:rsidR="00D66655" w:rsidRPr="007E3E68">
        <w:rPr>
          <w:szCs w:val="24"/>
        </w:rPr>
        <w:t xml:space="preserve"> in the Title III </w:t>
      </w:r>
      <w:r w:rsidR="00B160BA">
        <w:rPr>
          <w:szCs w:val="24"/>
        </w:rPr>
        <w:t xml:space="preserve">digital accessibility </w:t>
      </w:r>
      <w:r w:rsidR="007362CF">
        <w:rPr>
          <w:szCs w:val="24"/>
        </w:rPr>
        <w:t xml:space="preserve">class </w:t>
      </w:r>
      <w:r w:rsidR="00D66655" w:rsidRPr="007E3E68">
        <w:rPr>
          <w:szCs w:val="24"/>
        </w:rPr>
        <w:t>cases cited above</w:t>
      </w:r>
      <w:r w:rsidRPr="007E3E68">
        <w:rPr>
          <w:szCs w:val="24"/>
        </w:rPr>
        <w:t>:</w:t>
      </w:r>
    </w:p>
    <w:p w14:paraId="45396881" w14:textId="767B26FF" w:rsidR="00D16543" w:rsidRPr="007E3E68" w:rsidRDefault="00D16543" w:rsidP="005142E5">
      <w:pPr>
        <w:pStyle w:val="ListParagraph"/>
        <w:numPr>
          <w:ilvl w:val="0"/>
          <w:numId w:val="10"/>
        </w:numPr>
        <w:spacing w:after="240"/>
        <w:ind w:left="1080"/>
        <w:contextualSpacing w:val="0"/>
        <w:jc w:val="both"/>
        <w:rPr>
          <w:szCs w:val="24"/>
        </w:rPr>
      </w:pPr>
      <w:r w:rsidRPr="007E3E68">
        <w:rPr>
          <w:b/>
          <w:bCs/>
          <w:szCs w:val="24"/>
        </w:rPr>
        <w:t>$1,000</w:t>
      </w:r>
      <w:r w:rsidRPr="007E3E68">
        <w:rPr>
          <w:szCs w:val="24"/>
        </w:rPr>
        <w:t xml:space="preserve"> in </w:t>
      </w:r>
      <w:r w:rsidRPr="007E3E68">
        <w:rPr>
          <w:i/>
          <w:iCs/>
          <w:szCs w:val="24"/>
        </w:rPr>
        <w:t>Douglass v. Optavia LLC</w:t>
      </w:r>
      <w:r w:rsidRPr="007E3E68">
        <w:rPr>
          <w:szCs w:val="24"/>
        </w:rPr>
        <w:t>, No. 2:22-cv-00594, Doc. 39 at p. 3 (order granting attorneys’ fees and incentive award</w:t>
      </w:r>
      <w:r w:rsidR="00A329BB">
        <w:rPr>
          <w:szCs w:val="24"/>
        </w:rPr>
        <w:t xml:space="preserve"> in a case involved 1 website</w:t>
      </w:r>
      <w:r w:rsidRPr="007E3E68">
        <w:rPr>
          <w:szCs w:val="24"/>
        </w:rPr>
        <w:t>) (Wiegand, J.);</w:t>
      </w:r>
    </w:p>
    <w:p w14:paraId="5192A0D8" w14:textId="2BB92680" w:rsidR="00A96518" w:rsidRPr="007E3E68" w:rsidRDefault="00A96518" w:rsidP="005142E5">
      <w:pPr>
        <w:pStyle w:val="ListParagraph"/>
        <w:numPr>
          <w:ilvl w:val="0"/>
          <w:numId w:val="10"/>
        </w:numPr>
        <w:spacing w:after="240"/>
        <w:ind w:left="1080"/>
        <w:contextualSpacing w:val="0"/>
        <w:jc w:val="both"/>
        <w:rPr>
          <w:szCs w:val="24"/>
        </w:rPr>
      </w:pPr>
      <w:r w:rsidRPr="007E3E68">
        <w:rPr>
          <w:b/>
          <w:bCs/>
          <w:szCs w:val="24"/>
        </w:rPr>
        <w:t>$1,000</w:t>
      </w:r>
      <w:r w:rsidRPr="007E3E68">
        <w:rPr>
          <w:szCs w:val="24"/>
        </w:rPr>
        <w:t xml:space="preserve"> in </w:t>
      </w:r>
      <w:r w:rsidRPr="007E3E68">
        <w:rPr>
          <w:i/>
          <w:iCs/>
          <w:szCs w:val="24"/>
        </w:rPr>
        <w:t>Murphy v. The Hundreds Is Huge, Inc.</w:t>
      </w:r>
      <w:r w:rsidRPr="007E3E68">
        <w:rPr>
          <w:szCs w:val="24"/>
        </w:rPr>
        <w:t xml:space="preserve">, No. 1:21-cv-00204, Doc. </w:t>
      </w:r>
      <w:r w:rsidR="00B7137D" w:rsidRPr="007E3E68">
        <w:rPr>
          <w:szCs w:val="24"/>
        </w:rPr>
        <w:t>42 at p. 3 (</w:t>
      </w:r>
      <w:r w:rsidR="00A329BB">
        <w:rPr>
          <w:szCs w:val="24"/>
        </w:rPr>
        <w:t>same</w:t>
      </w:r>
      <w:r w:rsidR="00B7137D" w:rsidRPr="007E3E68">
        <w:rPr>
          <w:szCs w:val="24"/>
        </w:rPr>
        <w:t>) (Lanzillo, J.);</w:t>
      </w:r>
    </w:p>
    <w:p w14:paraId="1C7E67A1" w14:textId="0E721705" w:rsidR="00572468" w:rsidRPr="007E3E68" w:rsidRDefault="00572468" w:rsidP="005142E5">
      <w:pPr>
        <w:pStyle w:val="ListParagraph"/>
        <w:numPr>
          <w:ilvl w:val="0"/>
          <w:numId w:val="10"/>
        </w:numPr>
        <w:spacing w:after="240"/>
        <w:ind w:left="1080"/>
        <w:contextualSpacing w:val="0"/>
        <w:jc w:val="both"/>
        <w:rPr>
          <w:szCs w:val="24"/>
        </w:rPr>
      </w:pPr>
      <w:r w:rsidRPr="007E3E68">
        <w:rPr>
          <w:b/>
          <w:bCs/>
          <w:szCs w:val="24"/>
        </w:rPr>
        <w:t>$</w:t>
      </w:r>
      <w:r w:rsidR="0007108B" w:rsidRPr="007E3E68">
        <w:rPr>
          <w:b/>
          <w:bCs/>
          <w:szCs w:val="24"/>
        </w:rPr>
        <w:t>1,000</w:t>
      </w:r>
      <w:r w:rsidRPr="007E3E68">
        <w:rPr>
          <w:szCs w:val="24"/>
        </w:rPr>
        <w:t xml:space="preserve"> in </w:t>
      </w:r>
      <w:r w:rsidRPr="007E3E68">
        <w:rPr>
          <w:i/>
          <w:iCs/>
          <w:szCs w:val="24"/>
        </w:rPr>
        <w:t>Murphy v. Eyebobs, LLC</w:t>
      </w:r>
      <w:r w:rsidRPr="007E3E68">
        <w:rPr>
          <w:szCs w:val="24"/>
        </w:rPr>
        <w:t>, No. 1:21-cv-00017, Doc. 50</w:t>
      </w:r>
      <w:r w:rsidR="00A67842" w:rsidRPr="007E3E68">
        <w:rPr>
          <w:szCs w:val="24"/>
        </w:rPr>
        <w:t xml:space="preserve"> at </w:t>
      </w:r>
      <w:r w:rsidRPr="007E3E68">
        <w:rPr>
          <w:szCs w:val="24"/>
        </w:rPr>
        <w:t xml:space="preserve">p. </w:t>
      </w:r>
      <w:r w:rsidR="0007108B" w:rsidRPr="007E3E68">
        <w:rPr>
          <w:szCs w:val="24"/>
        </w:rPr>
        <w:t>3</w:t>
      </w:r>
      <w:r w:rsidRPr="007E3E68">
        <w:rPr>
          <w:szCs w:val="24"/>
        </w:rPr>
        <w:t xml:space="preserve"> (</w:t>
      </w:r>
      <w:r w:rsidR="00A329BB">
        <w:rPr>
          <w:szCs w:val="24"/>
        </w:rPr>
        <w:t>same</w:t>
      </w:r>
      <w:r w:rsidRPr="007E3E68">
        <w:rPr>
          <w:szCs w:val="24"/>
        </w:rPr>
        <w:t>) (Lanzillo, J.);</w:t>
      </w:r>
      <w:r w:rsidR="00720D2C" w:rsidRPr="007E3E68">
        <w:rPr>
          <w:szCs w:val="24"/>
        </w:rPr>
        <w:t xml:space="preserve"> and</w:t>
      </w:r>
    </w:p>
    <w:p w14:paraId="43F4DF9D" w14:textId="49E9CB85" w:rsidR="0028667F" w:rsidRPr="007E3E68" w:rsidRDefault="0028667F" w:rsidP="005142E5">
      <w:pPr>
        <w:pStyle w:val="ListParagraph"/>
        <w:numPr>
          <w:ilvl w:val="0"/>
          <w:numId w:val="10"/>
        </w:numPr>
        <w:spacing w:after="240"/>
        <w:ind w:left="1080"/>
        <w:contextualSpacing w:val="0"/>
        <w:jc w:val="both"/>
        <w:rPr>
          <w:szCs w:val="24"/>
        </w:rPr>
      </w:pPr>
      <w:r w:rsidRPr="007E3E68">
        <w:rPr>
          <w:b/>
          <w:bCs/>
          <w:szCs w:val="24"/>
        </w:rPr>
        <w:lastRenderedPageBreak/>
        <w:t xml:space="preserve">$1,000 </w:t>
      </w:r>
      <w:r w:rsidRPr="007E3E68">
        <w:rPr>
          <w:szCs w:val="24"/>
        </w:rPr>
        <w:t xml:space="preserve">in </w:t>
      </w:r>
      <w:r w:rsidRPr="007E3E68">
        <w:rPr>
          <w:i/>
          <w:iCs/>
          <w:szCs w:val="24"/>
        </w:rPr>
        <w:t>Murphy v. Charles Tyrwhitt, Inc.</w:t>
      </w:r>
      <w:r w:rsidRPr="007E3E68">
        <w:rPr>
          <w:szCs w:val="24"/>
        </w:rPr>
        <w:t>, No. 1:20-cv-00056, Doc. 48 at p. 2 (</w:t>
      </w:r>
      <w:r w:rsidR="00A329BB">
        <w:rPr>
          <w:szCs w:val="24"/>
        </w:rPr>
        <w:t>same</w:t>
      </w:r>
      <w:r w:rsidRPr="007E3E68">
        <w:rPr>
          <w:szCs w:val="24"/>
        </w:rPr>
        <w:t>) (Baxter, J.)</w:t>
      </w:r>
      <w:r w:rsidR="00720D2C" w:rsidRPr="007E3E68">
        <w:rPr>
          <w:szCs w:val="24"/>
        </w:rPr>
        <w:t>.</w:t>
      </w:r>
    </w:p>
    <w:p w14:paraId="70109C12" w14:textId="3BECFEAD" w:rsidR="00B160BA" w:rsidRPr="00E93354" w:rsidRDefault="00597CE2" w:rsidP="005142E5">
      <w:pPr>
        <w:spacing w:line="480" w:lineRule="auto"/>
        <w:jc w:val="both"/>
        <w:rPr>
          <w:szCs w:val="24"/>
        </w:rPr>
      </w:pPr>
      <w:r w:rsidRPr="00597CE2">
        <w:rPr>
          <w:szCs w:val="24"/>
        </w:rPr>
        <w:t>And,</w:t>
      </w:r>
      <w:r w:rsidR="00B160BA" w:rsidRPr="00597CE2">
        <w:rPr>
          <w:szCs w:val="24"/>
        </w:rPr>
        <w:t xml:space="preserve"> </w:t>
      </w:r>
      <w:r w:rsidRPr="00597CE2">
        <w:rPr>
          <w:szCs w:val="24"/>
        </w:rPr>
        <w:t>judge</w:t>
      </w:r>
      <w:r w:rsidR="00874CFD" w:rsidRPr="00597CE2">
        <w:rPr>
          <w:szCs w:val="24"/>
        </w:rPr>
        <w:t xml:space="preserve">s in </w:t>
      </w:r>
      <w:r w:rsidR="00021CD2">
        <w:rPr>
          <w:szCs w:val="24"/>
        </w:rPr>
        <w:t>this District</w:t>
      </w:r>
      <w:r w:rsidRPr="00597CE2">
        <w:rPr>
          <w:szCs w:val="24"/>
        </w:rPr>
        <w:t xml:space="preserve"> </w:t>
      </w:r>
      <w:r w:rsidR="00874CFD" w:rsidRPr="00597CE2">
        <w:rPr>
          <w:szCs w:val="24"/>
        </w:rPr>
        <w:t xml:space="preserve">approved </w:t>
      </w:r>
      <w:r w:rsidR="00B160BA" w:rsidRPr="00597CE2">
        <w:rPr>
          <w:szCs w:val="24"/>
        </w:rPr>
        <w:t>the following</w:t>
      </w:r>
      <w:r w:rsidR="00874CFD" w:rsidRPr="00597CE2">
        <w:rPr>
          <w:szCs w:val="24"/>
        </w:rPr>
        <w:t xml:space="preserve"> incentive awards in </w:t>
      </w:r>
      <w:r w:rsidR="00B160BA" w:rsidRPr="00597CE2">
        <w:rPr>
          <w:szCs w:val="24"/>
        </w:rPr>
        <w:t xml:space="preserve">other </w:t>
      </w:r>
      <w:r w:rsidR="00B160BA" w:rsidRPr="00E93354">
        <w:rPr>
          <w:szCs w:val="24"/>
        </w:rPr>
        <w:t xml:space="preserve">Title III </w:t>
      </w:r>
      <w:r w:rsidR="00874CFD" w:rsidRPr="00E93354">
        <w:rPr>
          <w:szCs w:val="24"/>
        </w:rPr>
        <w:t>cases</w:t>
      </w:r>
      <w:r w:rsidR="00B160BA" w:rsidRPr="00E93354">
        <w:rPr>
          <w:szCs w:val="24"/>
        </w:rPr>
        <w:t>:</w:t>
      </w:r>
    </w:p>
    <w:p w14:paraId="6851BD60" w14:textId="08EFF56E" w:rsidR="00E65D97" w:rsidRPr="00E93354" w:rsidRDefault="00E65D97" w:rsidP="005142E5">
      <w:pPr>
        <w:pStyle w:val="ListParagraph"/>
        <w:numPr>
          <w:ilvl w:val="0"/>
          <w:numId w:val="18"/>
        </w:numPr>
        <w:spacing w:after="240"/>
        <w:ind w:left="1080"/>
        <w:contextualSpacing w:val="0"/>
        <w:jc w:val="both"/>
        <w:rPr>
          <w:szCs w:val="24"/>
        </w:rPr>
      </w:pPr>
      <w:r w:rsidRPr="00E93354">
        <w:rPr>
          <w:b/>
          <w:bCs/>
          <w:szCs w:val="24"/>
        </w:rPr>
        <w:t>$5,000</w:t>
      </w:r>
      <w:r w:rsidRPr="00E93354">
        <w:rPr>
          <w:szCs w:val="24"/>
        </w:rPr>
        <w:t xml:space="preserve"> in </w:t>
      </w:r>
      <w:r w:rsidRPr="00E93354">
        <w:rPr>
          <w:i/>
          <w:iCs/>
          <w:szCs w:val="24"/>
        </w:rPr>
        <w:t xml:space="preserve">Jahoda v. Redbox Automated Retail, </w:t>
      </w:r>
      <w:r w:rsidR="00E93354" w:rsidRPr="00E93354">
        <w:rPr>
          <w:i/>
          <w:iCs/>
          <w:szCs w:val="24"/>
        </w:rPr>
        <w:t>LLC</w:t>
      </w:r>
      <w:r w:rsidRPr="00E93354">
        <w:rPr>
          <w:szCs w:val="24"/>
        </w:rPr>
        <w:t>, No. 2:14-cv-01278, Doc. 7</w:t>
      </w:r>
      <w:r w:rsidR="00E93354" w:rsidRPr="00E93354">
        <w:rPr>
          <w:szCs w:val="24"/>
        </w:rPr>
        <w:t>6</w:t>
      </w:r>
      <w:r w:rsidRPr="00E93354">
        <w:rPr>
          <w:szCs w:val="24"/>
        </w:rPr>
        <w:t xml:space="preserve"> at p. </w:t>
      </w:r>
      <w:r w:rsidR="00E93354" w:rsidRPr="00E93354">
        <w:rPr>
          <w:szCs w:val="24"/>
        </w:rPr>
        <w:t>6</w:t>
      </w:r>
      <w:r w:rsidRPr="00E93354">
        <w:rPr>
          <w:szCs w:val="24"/>
        </w:rPr>
        <w:t xml:space="preserve"> (brief in support of motion for </w:t>
      </w:r>
      <w:r w:rsidR="00E93354" w:rsidRPr="00E93354">
        <w:rPr>
          <w:szCs w:val="24"/>
        </w:rPr>
        <w:t>fees</w:t>
      </w:r>
      <w:r w:rsidRPr="00E93354">
        <w:rPr>
          <w:szCs w:val="24"/>
        </w:rPr>
        <w:t>)</w:t>
      </w:r>
      <w:r w:rsidR="00E93354" w:rsidRPr="00E93354">
        <w:rPr>
          <w:szCs w:val="24"/>
        </w:rPr>
        <w:t>, Doc. 79 (minute entry indicating court found fees reasonable) (Lenihan, J.);</w:t>
      </w:r>
      <w:r w:rsidR="009B0B29">
        <w:rPr>
          <w:szCs w:val="24"/>
        </w:rPr>
        <w:t xml:space="preserve"> and</w:t>
      </w:r>
    </w:p>
    <w:p w14:paraId="00831E78" w14:textId="364CEEB8" w:rsidR="00E65D97" w:rsidRPr="00EF1D79" w:rsidRDefault="00E65D97" w:rsidP="005142E5">
      <w:pPr>
        <w:pStyle w:val="Default"/>
        <w:numPr>
          <w:ilvl w:val="0"/>
          <w:numId w:val="18"/>
        </w:numPr>
        <w:spacing w:after="240"/>
        <w:ind w:left="1080"/>
        <w:jc w:val="both"/>
        <w:rPr>
          <w:sz w:val="23"/>
          <w:szCs w:val="23"/>
        </w:rPr>
      </w:pPr>
      <w:r w:rsidRPr="00EF1D79">
        <w:rPr>
          <w:b/>
          <w:bCs/>
          <w:sz w:val="23"/>
          <w:szCs w:val="23"/>
        </w:rPr>
        <w:t>$5,000</w:t>
      </w:r>
      <w:r w:rsidRPr="00EF1D79">
        <w:rPr>
          <w:sz w:val="23"/>
          <w:szCs w:val="23"/>
        </w:rPr>
        <w:t xml:space="preserve"> in </w:t>
      </w:r>
      <w:r w:rsidRPr="00EF1D79">
        <w:rPr>
          <w:i/>
          <w:iCs/>
          <w:sz w:val="23"/>
          <w:szCs w:val="23"/>
        </w:rPr>
        <w:t>Dieter v. Aldi, Inc.</w:t>
      </w:r>
      <w:r w:rsidRPr="00EF1D79">
        <w:rPr>
          <w:sz w:val="23"/>
          <w:szCs w:val="23"/>
        </w:rPr>
        <w:t>, No. 2:18-cv-00846</w:t>
      </w:r>
      <w:r w:rsidR="009B0B29" w:rsidRPr="00EF1D79">
        <w:rPr>
          <w:sz w:val="23"/>
          <w:szCs w:val="23"/>
        </w:rPr>
        <w:t xml:space="preserve">, </w:t>
      </w:r>
      <w:r w:rsidRPr="00EF1D79">
        <w:rPr>
          <w:sz w:val="23"/>
          <w:szCs w:val="23"/>
        </w:rPr>
        <w:t>Doc. 6</w:t>
      </w:r>
      <w:r w:rsidR="009B0B29" w:rsidRPr="00EF1D79">
        <w:rPr>
          <w:sz w:val="23"/>
          <w:szCs w:val="23"/>
        </w:rPr>
        <w:t>2 at</w:t>
      </w:r>
      <w:r w:rsidRPr="00EF1D79">
        <w:rPr>
          <w:sz w:val="23"/>
          <w:szCs w:val="23"/>
        </w:rPr>
        <w:t xml:space="preserve"> p. </w:t>
      </w:r>
      <w:r w:rsidR="009B0B29" w:rsidRPr="00EF1D79">
        <w:rPr>
          <w:sz w:val="23"/>
          <w:szCs w:val="23"/>
        </w:rPr>
        <w:t>6</w:t>
      </w:r>
      <w:r w:rsidRPr="00EF1D79">
        <w:rPr>
          <w:sz w:val="23"/>
          <w:szCs w:val="23"/>
        </w:rPr>
        <w:t xml:space="preserve"> (brief in support of motion for </w:t>
      </w:r>
      <w:r w:rsidR="009B0B29" w:rsidRPr="00EF1D79">
        <w:rPr>
          <w:sz w:val="23"/>
          <w:szCs w:val="23"/>
        </w:rPr>
        <w:t>fees</w:t>
      </w:r>
      <w:r w:rsidRPr="00EF1D79">
        <w:rPr>
          <w:sz w:val="23"/>
          <w:szCs w:val="23"/>
        </w:rPr>
        <w:t>)</w:t>
      </w:r>
      <w:r w:rsidR="009B0B29" w:rsidRPr="00EF1D79">
        <w:rPr>
          <w:sz w:val="23"/>
          <w:szCs w:val="23"/>
        </w:rPr>
        <w:t>,</w:t>
      </w:r>
      <w:r w:rsidRPr="00EF1D79">
        <w:rPr>
          <w:sz w:val="23"/>
          <w:szCs w:val="23"/>
        </w:rPr>
        <w:t xml:space="preserve"> </w:t>
      </w:r>
      <w:r w:rsidR="009B0B29" w:rsidRPr="00EF1D79">
        <w:rPr>
          <w:sz w:val="23"/>
          <w:szCs w:val="23"/>
        </w:rPr>
        <w:t>Doc.</w:t>
      </w:r>
      <w:r w:rsidRPr="00EF1D79">
        <w:rPr>
          <w:sz w:val="23"/>
          <w:szCs w:val="23"/>
        </w:rPr>
        <w:t xml:space="preserve"> 6</w:t>
      </w:r>
      <w:r w:rsidR="009B0B29" w:rsidRPr="00EF1D79">
        <w:rPr>
          <w:sz w:val="23"/>
          <w:szCs w:val="23"/>
        </w:rPr>
        <w:t>4</w:t>
      </w:r>
      <w:r w:rsidRPr="00EF1D79">
        <w:rPr>
          <w:sz w:val="23"/>
          <w:szCs w:val="23"/>
        </w:rPr>
        <w:t xml:space="preserve"> (</w:t>
      </w:r>
      <w:r w:rsidR="009B0B29" w:rsidRPr="00EF1D79">
        <w:rPr>
          <w:sz w:val="23"/>
          <w:szCs w:val="23"/>
        </w:rPr>
        <w:t>o</w:t>
      </w:r>
      <w:r w:rsidRPr="00EF1D79">
        <w:rPr>
          <w:sz w:val="23"/>
          <w:szCs w:val="23"/>
        </w:rPr>
        <w:t xml:space="preserve">rder granting </w:t>
      </w:r>
      <w:r w:rsidR="009B0B29" w:rsidRPr="00EF1D79">
        <w:rPr>
          <w:sz w:val="23"/>
          <w:szCs w:val="23"/>
        </w:rPr>
        <w:t>fees</w:t>
      </w:r>
      <w:r w:rsidRPr="00EF1D79">
        <w:rPr>
          <w:sz w:val="23"/>
          <w:szCs w:val="23"/>
        </w:rPr>
        <w:t>)</w:t>
      </w:r>
      <w:r w:rsidR="009B0B29" w:rsidRPr="00EF1D79">
        <w:rPr>
          <w:sz w:val="23"/>
          <w:szCs w:val="23"/>
        </w:rPr>
        <w:t xml:space="preserve"> (Conti, J.).</w:t>
      </w:r>
    </w:p>
    <w:p w14:paraId="32AAFE40" w14:textId="67DE1705" w:rsidR="00EB70B9" w:rsidRPr="00B160BA" w:rsidRDefault="00BA389E" w:rsidP="005142E5">
      <w:pPr>
        <w:spacing w:line="480" w:lineRule="auto"/>
        <w:ind w:firstLine="427"/>
        <w:jc w:val="both"/>
        <w:rPr>
          <w:szCs w:val="24"/>
        </w:rPr>
      </w:pPr>
      <w:r w:rsidRPr="00B160BA">
        <w:rPr>
          <w:szCs w:val="24"/>
        </w:rPr>
        <w:t xml:space="preserve">Consistent with </w:t>
      </w:r>
      <w:r w:rsidR="00D02BF1" w:rsidRPr="00B160BA">
        <w:rPr>
          <w:szCs w:val="24"/>
        </w:rPr>
        <w:t>these</w:t>
      </w:r>
      <w:r w:rsidRPr="00B160BA">
        <w:rPr>
          <w:szCs w:val="24"/>
        </w:rPr>
        <w:t xml:space="preserve"> cases, </w:t>
      </w:r>
      <w:r w:rsidR="00D02BF1" w:rsidRPr="00B160BA">
        <w:rPr>
          <w:szCs w:val="24"/>
        </w:rPr>
        <w:t>the $1,</w:t>
      </w:r>
      <w:r w:rsidR="002400C1" w:rsidRPr="00B160BA">
        <w:rPr>
          <w:szCs w:val="24"/>
        </w:rPr>
        <w:t>5</w:t>
      </w:r>
      <w:r w:rsidR="00D02BF1" w:rsidRPr="00B160BA">
        <w:rPr>
          <w:szCs w:val="24"/>
        </w:rPr>
        <w:t>00</w:t>
      </w:r>
      <w:r w:rsidR="00D66655" w:rsidRPr="00B160BA">
        <w:rPr>
          <w:szCs w:val="24"/>
        </w:rPr>
        <w:t>.00</w:t>
      </w:r>
      <w:r w:rsidR="00D02BF1" w:rsidRPr="00B160BA">
        <w:rPr>
          <w:szCs w:val="24"/>
        </w:rPr>
        <w:t xml:space="preserve"> incentive award </w:t>
      </w:r>
      <w:r w:rsidR="000561CA" w:rsidRPr="00B160BA">
        <w:rPr>
          <w:szCs w:val="24"/>
        </w:rPr>
        <w:t xml:space="preserve">that </w:t>
      </w:r>
      <w:r w:rsidR="004F46C0" w:rsidRPr="00B160BA">
        <w:rPr>
          <w:szCs w:val="24"/>
        </w:rPr>
        <w:t>Defendant</w:t>
      </w:r>
      <w:r w:rsidR="00916F3D" w:rsidRPr="00B160BA">
        <w:rPr>
          <w:szCs w:val="24"/>
        </w:rPr>
        <w:t xml:space="preserve"> </w:t>
      </w:r>
      <w:r w:rsidR="00D02BF1" w:rsidRPr="00B160BA">
        <w:rPr>
          <w:szCs w:val="24"/>
        </w:rPr>
        <w:t xml:space="preserve">agreed to pay </w:t>
      </w:r>
      <w:r w:rsidR="000561CA" w:rsidRPr="00B160BA">
        <w:rPr>
          <w:szCs w:val="24"/>
        </w:rPr>
        <w:t xml:space="preserve">to </w:t>
      </w:r>
      <w:r w:rsidR="00D02BF1" w:rsidRPr="00B160BA">
        <w:rPr>
          <w:szCs w:val="24"/>
        </w:rPr>
        <w:t xml:space="preserve">Plaintiff for </w:t>
      </w:r>
      <w:r w:rsidR="004C72E7" w:rsidRPr="00B160BA">
        <w:rPr>
          <w:szCs w:val="24"/>
        </w:rPr>
        <w:t xml:space="preserve">his </w:t>
      </w:r>
      <w:r w:rsidR="00D02BF1" w:rsidRPr="00B160BA">
        <w:rPr>
          <w:szCs w:val="24"/>
        </w:rPr>
        <w:t>efforts is fair and reasonable</w:t>
      </w:r>
      <w:r w:rsidR="00EB70B9" w:rsidRPr="00B160BA">
        <w:rPr>
          <w:szCs w:val="24"/>
        </w:rPr>
        <w:t>.</w:t>
      </w:r>
      <w:r w:rsidR="00D02BF1" w:rsidRPr="00B160BA">
        <w:rPr>
          <w:szCs w:val="24"/>
        </w:rPr>
        <w:t xml:space="preserve"> The Court should approve the</w:t>
      </w:r>
      <w:r w:rsidR="000561CA" w:rsidRPr="00B160BA">
        <w:rPr>
          <w:szCs w:val="24"/>
        </w:rPr>
        <w:t xml:space="preserve"> incentive</w:t>
      </w:r>
      <w:r w:rsidR="00D02BF1" w:rsidRPr="00B160BA">
        <w:rPr>
          <w:szCs w:val="24"/>
        </w:rPr>
        <w:t xml:space="preserve"> award.</w:t>
      </w:r>
    </w:p>
    <w:p w14:paraId="00F4CEA2" w14:textId="40FEDE43" w:rsidR="00D02BF1" w:rsidRPr="00594978" w:rsidRDefault="00D02BF1" w:rsidP="00E458A2">
      <w:pPr>
        <w:pStyle w:val="ListParagraph"/>
        <w:keepNext/>
        <w:numPr>
          <w:ilvl w:val="0"/>
          <w:numId w:val="7"/>
        </w:numPr>
        <w:spacing w:line="480" w:lineRule="auto"/>
        <w:ind w:right="720" w:hanging="720"/>
        <w:jc w:val="both"/>
        <w:rPr>
          <w:szCs w:val="24"/>
        </w:rPr>
      </w:pPr>
      <w:r w:rsidRPr="00594978">
        <w:rPr>
          <w:b/>
          <w:bCs/>
          <w:szCs w:val="24"/>
        </w:rPr>
        <w:t>CONCLUSION</w:t>
      </w:r>
    </w:p>
    <w:p w14:paraId="5DB6B9E9" w14:textId="5624EC21" w:rsidR="00CD27DF" w:rsidRDefault="00862570" w:rsidP="007C2398">
      <w:pPr>
        <w:keepNext/>
        <w:spacing w:line="480" w:lineRule="auto"/>
        <w:ind w:firstLine="720"/>
        <w:jc w:val="both"/>
        <w:rPr>
          <w:szCs w:val="24"/>
        </w:rPr>
      </w:pPr>
      <w:r w:rsidRPr="00AD1205">
        <w:rPr>
          <w:szCs w:val="24"/>
        </w:rPr>
        <w:t>For the foregoing reasons, t</w:t>
      </w:r>
      <w:r w:rsidR="00D02BF1" w:rsidRPr="00AD1205">
        <w:rPr>
          <w:szCs w:val="24"/>
        </w:rPr>
        <w:t xml:space="preserve">he </w:t>
      </w:r>
      <w:r w:rsidR="00AD1205" w:rsidRPr="00AD1205">
        <w:rPr>
          <w:szCs w:val="24"/>
        </w:rPr>
        <w:t xml:space="preserve">requested </w:t>
      </w:r>
      <w:r w:rsidR="00D02BF1" w:rsidRPr="00AD1205">
        <w:rPr>
          <w:szCs w:val="24"/>
        </w:rPr>
        <w:t>fees and incentive award are reasonable and more than justified by the work performed</w:t>
      </w:r>
      <w:r w:rsidR="00AD1205" w:rsidRPr="00AD1205">
        <w:rPr>
          <w:szCs w:val="24"/>
        </w:rPr>
        <w:t>, and the results obtained,</w:t>
      </w:r>
      <w:r w:rsidR="00D02BF1" w:rsidRPr="00AD1205">
        <w:rPr>
          <w:szCs w:val="24"/>
        </w:rPr>
        <w:t xml:space="preserve"> on behalf of the Settlement Class. Plaintiff respectfully request</w:t>
      </w:r>
      <w:r w:rsidR="004C72E7" w:rsidRPr="00AD1205">
        <w:rPr>
          <w:szCs w:val="24"/>
        </w:rPr>
        <w:t>s</w:t>
      </w:r>
      <w:r w:rsidRPr="00AD1205">
        <w:rPr>
          <w:szCs w:val="24"/>
        </w:rPr>
        <w:t xml:space="preserve"> that</w:t>
      </w:r>
      <w:r w:rsidR="00D02BF1" w:rsidRPr="00AD1205">
        <w:rPr>
          <w:szCs w:val="24"/>
        </w:rPr>
        <w:t xml:space="preserve"> the Court </w:t>
      </w:r>
      <w:r w:rsidRPr="00AD1205">
        <w:rPr>
          <w:szCs w:val="24"/>
        </w:rPr>
        <w:t>award $</w:t>
      </w:r>
      <w:r w:rsidR="00AD1205" w:rsidRPr="00AD1205">
        <w:rPr>
          <w:szCs w:val="24"/>
        </w:rPr>
        <w:t>73</w:t>
      </w:r>
      <w:r w:rsidRPr="00AD1205">
        <w:rPr>
          <w:szCs w:val="24"/>
        </w:rPr>
        <w:t>,</w:t>
      </w:r>
      <w:r w:rsidR="00AD1205" w:rsidRPr="00AD1205">
        <w:rPr>
          <w:szCs w:val="24"/>
        </w:rPr>
        <w:t>5</w:t>
      </w:r>
      <w:r w:rsidRPr="00AD1205">
        <w:rPr>
          <w:szCs w:val="24"/>
        </w:rPr>
        <w:t xml:space="preserve">00.00 as attorneys’ fees to Class Counsel and </w:t>
      </w:r>
      <w:r w:rsidR="00D66655" w:rsidRPr="00AD1205">
        <w:rPr>
          <w:szCs w:val="24"/>
        </w:rPr>
        <w:t>$1,</w:t>
      </w:r>
      <w:r w:rsidR="00AD1205" w:rsidRPr="00AD1205">
        <w:rPr>
          <w:szCs w:val="24"/>
        </w:rPr>
        <w:t>5</w:t>
      </w:r>
      <w:r w:rsidR="00D66655" w:rsidRPr="00AD1205">
        <w:rPr>
          <w:szCs w:val="24"/>
        </w:rPr>
        <w:t xml:space="preserve">00.00 </w:t>
      </w:r>
      <w:r w:rsidR="001C03C8" w:rsidRPr="00AD1205">
        <w:rPr>
          <w:szCs w:val="24"/>
        </w:rPr>
        <w:t xml:space="preserve">as an </w:t>
      </w:r>
      <w:r w:rsidR="00D02BF1" w:rsidRPr="00AD1205">
        <w:rPr>
          <w:szCs w:val="24"/>
        </w:rPr>
        <w:t xml:space="preserve">incentive award </w:t>
      </w:r>
      <w:r w:rsidRPr="00AD1205">
        <w:rPr>
          <w:szCs w:val="24"/>
        </w:rPr>
        <w:t>to Plaintiff</w:t>
      </w:r>
      <w:r w:rsidR="00D02BF1" w:rsidRPr="00AD1205">
        <w:rPr>
          <w:szCs w:val="24"/>
        </w:rPr>
        <w:t>.</w:t>
      </w:r>
    </w:p>
    <w:p w14:paraId="52B7EC58" w14:textId="77777777" w:rsidR="00025B38" w:rsidRPr="008C6CED" w:rsidRDefault="00025B38" w:rsidP="00025B38">
      <w:pPr>
        <w:keepNext/>
        <w:spacing w:line="480" w:lineRule="auto"/>
        <w:jc w:val="both"/>
        <w:rPr>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6CED" w:rsidRPr="0095321A" w14:paraId="0815443A" w14:textId="77777777" w:rsidTr="00E14C07">
        <w:tc>
          <w:tcPr>
            <w:tcW w:w="4675" w:type="dxa"/>
            <w:vAlign w:val="bottom"/>
            <w:hideMark/>
          </w:tcPr>
          <w:p w14:paraId="4597D423" w14:textId="27954F41" w:rsidR="008C6CED" w:rsidRPr="0095321A" w:rsidRDefault="008C6CED" w:rsidP="00E14C07">
            <w:pPr>
              <w:widowControl w:val="0"/>
              <w:spacing w:line="276" w:lineRule="auto"/>
              <w:rPr>
                <w:bCs/>
                <w:szCs w:val="24"/>
                <w:highlight w:val="yellow"/>
              </w:rPr>
            </w:pPr>
            <w:bookmarkStart w:id="3" w:name="_Hlk36454850"/>
            <w:r w:rsidRPr="007D2554">
              <w:rPr>
                <w:bCs/>
                <w:szCs w:val="24"/>
              </w:rPr>
              <w:t>Dated</w:t>
            </w:r>
            <w:r w:rsidRPr="003A45D0">
              <w:rPr>
                <w:bCs/>
                <w:szCs w:val="24"/>
              </w:rPr>
              <w:t xml:space="preserve">: June </w:t>
            </w:r>
            <w:r w:rsidR="003A45D0" w:rsidRPr="003A45D0">
              <w:rPr>
                <w:bCs/>
                <w:szCs w:val="24"/>
              </w:rPr>
              <w:t>6</w:t>
            </w:r>
            <w:r w:rsidRPr="003A45D0">
              <w:rPr>
                <w:bCs/>
                <w:szCs w:val="24"/>
              </w:rPr>
              <w:t>, 2023</w:t>
            </w:r>
          </w:p>
        </w:tc>
        <w:tc>
          <w:tcPr>
            <w:tcW w:w="4675" w:type="dxa"/>
            <w:tcBorders>
              <w:top w:val="nil"/>
              <w:left w:val="nil"/>
              <w:bottom w:val="single" w:sz="8" w:space="0" w:color="auto"/>
              <w:right w:val="nil"/>
            </w:tcBorders>
            <w:vAlign w:val="bottom"/>
            <w:hideMark/>
          </w:tcPr>
          <w:p w14:paraId="6CB21D27" w14:textId="77777777" w:rsidR="008C6CED" w:rsidRPr="00561F84" w:rsidRDefault="008C6CED" w:rsidP="00E14C07">
            <w:pPr>
              <w:widowControl w:val="0"/>
              <w:spacing w:line="276" w:lineRule="auto"/>
              <w:rPr>
                <w:bCs/>
                <w:i/>
                <w:iCs/>
                <w:szCs w:val="24"/>
              </w:rPr>
            </w:pPr>
            <w:r w:rsidRPr="00561F84">
              <w:rPr>
                <w:bCs/>
                <w:i/>
                <w:iCs/>
                <w:szCs w:val="24"/>
              </w:rPr>
              <w:t>/s/ Chandler Steiger</w:t>
            </w:r>
          </w:p>
        </w:tc>
      </w:tr>
      <w:tr w:rsidR="008C6CED" w:rsidRPr="0095321A" w14:paraId="418E4F5C" w14:textId="77777777" w:rsidTr="00E14C07">
        <w:tc>
          <w:tcPr>
            <w:tcW w:w="4675" w:type="dxa"/>
            <w:vAlign w:val="bottom"/>
          </w:tcPr>
          <w:p w14:paraId="32E71DA4" w14:textId="77777777" w:rsidR="008C6CED" w:rsidRPr="0095321A" w:rsidRDefault="008C6CED" w:rsidP="00E14C07">
            <w:pPr>
              <w:widowControl w:val="0"/>
              <w:spacing w:line="276" w:lineRule="auto"/>
              <w:rPr>
                <w:bCs/>
                <w:szCs w:val="24"/>
                <w:highlight w:val="yellow"/>
              </w:rPr>
            </w:pPr>
          </w:p>
        </w:tc>
        <w:tc>
          <w:tcPr>
            <w:tcW w:w="4675" w:type="dxa"/>
            <w:tcBorders>
              <w:top w:val="single" w:sz="8" w:space="0" w:color="auto"/>
              <w:left w:val="nil"/>
              <w:bottom w:val="nil"/>
              <w:right w:val="nil"/>
            </w:tcBorders>
            <w:vAlign w:val="bottom"/>
            <w:hideMark/>
          </w:tcPr>
          <w:p w14:paraId="6768FBBC" w14:textId="77777777" w:rsidR="008C6CED" w:rsidRPr="00561F84" w:rsidRDefault="008C6CED" w:rsidP="00E14C07">
            <w:pPr>
              <w:widowControl w:val="0"/>
              <w:rPr>
                <w:bCs/>
                <w:szCs w:val="24"/>
              </w:rPr>
            </w:pPr>
            <w:r w:rsidRPr="00561F84">
              <w:rPr>
                <w:bCs/>
                <w:szCs w:val="24"/>
              </w:rPr>
              <w:t>Kevin W. Tucker (He/Him) (PA 312144)</w:t>
            </w:r>
          </w:p>
        </w:tc>
      </w:tr>
      <w:tr w:rsidR="008C6CED" w:rsidRPr="0095321A" w14:paraId="79A253A8" w14:textId="77777777" w:rsidTr="00E14C07">
        <w:tc>
          <w:tcPr>
            <w:tcW w:w="4675" w:type="dxa"/>
            <w:vAlign w:val="bottom"/>
          </w:tcPr>
          <w:p w14:paraId="0B876420" w14:textId="77777777" w:rsidR="008C6CED" w:rsidRPr="0095321A" w:rsidRDefault="008C6CED" w:rsidP="00E14C07">
            <w:pPr>
              <w:widowControl w:val="0"/>
              <w:spacing w:line="276" w:lineRule="auto"/>
              <w:rPr>
                <w:bCs/>
                <w:szCs w:val="24"/>
                <w:highlight w:val="yellow"/>
              </w:rPr>
            </w:pPr>
          </w:p>
        </w:tc>
        <w:tc>
          <w:tcPr>
            <w:tcW w:w="4675" w:type="dxa"/>
            <w:vAlign w:val="bottom"/>
            <w:hideMark/>
          </w:tcPr>
          <w:p w14:paraId="6418E216" w14:textId="77777777" w:rsidR="008C6CED" w:rsidRPr="00561F84" w:rsidRDefault="008C6CED" w:rsidP="00E14C07">
            <w:pPr>
              <w:widowControl w:val="0"/>
              <w:rPr>
                <w:bCs/>
                <w:szCs w:val="24"/>
              </w:rPr>
            </w:pPr>
            <w:r w:rsidRPr="00561F84">
              <w:rPr>
                <w:bCs/>
                <w:szCs w:val="24"/>
              </w:rPr>
              <w:t>Kevin J. Abramowicz</w:t>
            </w:r>
            <w:r>
              <w:rPr>
                <w:bCs/>
                <w:szCs w:val="24"/>
              </w:rPr>
              <w:t xml:space="preserve"> (He/Him)</w:t>
            </w:r>
            <w:r w:rsidRPr="00561F84">
              <w:rPr>
                <w:bCs/>
                <w:szCs w:val="24"/>
              </w:rPr>
              <w:t xml:space="preserve"> (PA 320659)</w:t>
            </w:r>
          </w:p>
          <w:p w14:paraId="29A64441" w14:textId="77777777" w:rsidR="008C6CED" w:rsidRPr="00561F84" w:rsidRDefault="008C6CED" w:rsidP="00E14C07">
            <w:pPr>
              <w:widowControl w:val="0"/>
              <w:spacing w:line="276" w:lineRule="auto"/>
              <w:rPr>
                <w:bCs/>
                <w:szCs w:val="24"/>
                <w:lang w:val="es-ES"/>
              </w:rPr>
            </w:pPr>
            <w:r w:rsidRPr="00561F84">
              <w:rPr>
                <w:bCs/>
                <w:szCs w:val="24"/>
                <w:lang w:val="es-ES"/>
              </w:rPr>
              <w:t>Chandler Steiger (She/Her) (PA</w:t>
            </w:r>
            <w:r>
              <w:rPr>
                <w:bCs/>
                <w:szCs w:val="24"/>
                <w:lang w:val="es-ES"/>
              </w:rPr>
              <w:t xml:space="preserve"> </w:t>
            </w:r>
            <w:r w:rsidRPr="00561F84">
              <w:rPr>
                <w:bCs/>
                <w:szCs w:val="24"/>
                <w:lang w:val="es-ES"/>
              </w:rPr>
              <w:t>328891)</w:t>
            </w:r>
          </w:p>
          <w:p w14:paraId="6A95386B" w14:textId="77777777" w:rsidR="008C6CED" w:rsidRPr="00561F84" w:rsidRDefault="008C6CED" w:rsidP="00E14C07">
            <w:pPr>
              <w:widowControl w:val="0"/>
              <w:rPr>
                <w:bCs/>
                <w:szCs w:val="24"/>
              </w:rPr>
            </w:pPr>
            <w:r w:rsidRPr="00561F84">
              <w:rPr>
                <w:bCs/>
                <w:szCs w:val="24"/>
                <w:lang w:val="es-ES"/>
              </w:rPr>
              <w:t>Stephanie Moore (She/Her) (PA 329447)</w:t>
            </w:r>
          </w:p>
        </w:tc>
      </w:tr>
      <w:tr w:rsidR="008C6CED" w:rsidRPr="0095321A" w14:paraId="2A7FC48C" w14:textId="77777777" w:rsidTr="00E14C07">
        <w:tc>
          <w:tcPr>
            <w:tcW w:w="4675" w:type="dxa"/>
            <w:vAlign w:val="bottom"/>
          </w:tcPr>
          <w:p w14:paraId="63705EB9" w14:textId="77777777" w:rsidR="008C6CED" w:rsidRPr="0095321A" w:rsidRDefault="008C6CED" w:rsidP="00E14C07">
            <w:pPr>
              <w:widowControl w:val="0"/>
              <w:spacing w:line="276" w:lineRule="auto"/>
              <w:rPr>
                <w:bCs/>
                <w:szCs w:val="24"/>
                <w:highlight w:val="yellow"/>
              </w:rPr>
            </w:pPr>
          </w:p>
        </w:tc>
        <w:tc>
          <w:tcPr>
            <w:tcW w:w="4675" w:type="dxa"/>
            <w:vAlign w:val="bottom"/>
            <w:hideMark/>
          </w:tcPr>
          <w:p w14:paraId="68EEC170" w14:textId="77777777" w:rsidR="008C6CED" w:rsidRPr="00561F84" w:rsidRDefault="008C6CED" w:rsidP="00E14C07">
            <w:pPr>
              <w:widowControl w:val="0"/>
              <w:rPr>
                <w:b/>
                <w:szCs w:val="24"/>
              </w:rPr>
            </w:pPr>
            <w:r w:rsidRPr="00561F84">
              <w:rPr>
                <w:b/>
                <w:szCs w:val="24"/>
              </w:rPr>
              <w:t>EAST END TRIAL GROUP LLC</w:t>
            </w:r>
          </w:p>
        </w:tc>
      </w:tr>
      <w:tr w:rsidR="008C6CED" w:rsidRPr="0095321A" w14:paraId="058B6ED4" w14:textId="77777777" w:rsidTr="00E14C07">
        <w:tc>
          <w:tcPr>
            <w:tcW w:w="4675" w:type="dxa"/>
            <w:vAlign w:val="bottom"/>
          </w:tcPr>
          <w:p w14:paraId="02A4070E" w14:textId="77777777" w:rsidR="008C6CED" w:rsidRPr="0095321A" w:rsidRDefault="008C6CED" w:rsidP="00E14C07">
            <w:pPr>
              <w:widowControl w:val="0"/>
              <w:spacing w:line="276" w:lineRule="auto"/>
              <w:rPr>
                <w:bCs/>
                <w:szCs w:val="24"/>
                <w:highlight w:val="yellow"/>
              </w:rPr>
            </w:pPr>
          </w:p>
        </w:tc>
        <w:tc>
          <w:tcPr>
            <w:tcW w:w="4675" w:type="dxa"/>
            <w:vAlign w:val="bottom"/>
            <w:hideMark/>
          </w:tcPr>
          <w:p w14:paraId="69AF4F8B" w14:textId="77777777" w:rsidR="008C6CED" w:rsidRPr="00561F84" w:rsidRDefault="008C6CED" w:rsidP="00E14C07">
            <w:pPr>
              <w:widowControl w:val="0"/>
              <w:rPr>
                <w:bCs/>
                <w:szCs w:val="24"/>
              </w:rPr>
            </w:pPr>
            <w:r w:rsidRPr="00561F84">
              <w:rPr>
                <w:bCs/>
                <w:szCs w:val="24"/>
              </w:rPr>
              <w:t>6901 Lynn Way, Suite 215</w:t>
            </w:r>
          </w:p>
        </w:tc>
      </w:tr>
      <w:tr w:rsidR="008C6CED" w:rsidRPr="0095321A" w14:paraId="27ECB337" w14:textId="77777777" w:rsidTr="00E14C07">
        <w:tc>
          <w:tcPr>
            <w:tcW w:w="4675" w:type="dxa"/>
            <w:vAlign w:val="bottom"/>
          </w:tcPr>
          <w:p w14:paraId="512771A3" w14:textId="77777777" w:rsidR="008C6CED" w:rsidRPr="0095321A" w:rsidRDefault="008C6CED" w:rsidP="00E14C07">
            <w:pPr>
              <w:widowControl w:val="0"/>
              <w:spacing w:line="276" w:lineRule="auto"/>
              <w:rPr>
                <w:bCs/>
                <w:szCs w:val="24"/>
                <w:highlight w:val="yellow"/>
              </w:rPr>
            </w:pPr>
          </w:p>
        </w:tc>
        <w:tc>
          <w:tcPr>
            <w:tcW w:w="4675" w:type="dxa"/>
            <w:vAlign w:val="bottom"/>
            <w:hideMark/>
          </w:tcPr>
          <w:p w14:paraId="713F6403" w14:textId="77777777" w:rsidR="008C6CED" w:rsidRPr="00561F84" w:rsidRDefault="008C6CED" w:rsidP="00E14C07">
            <w:pPr>
              <w:widowControl w:val="0"/>
              <w:rPr>
                <w:bCs/>
                <w:szCs w:val="24"/>
              </w:rPr>
            </w:pPr>
            <w:r w:rsidRPr="00561F84">
              <w:rPr>
                <w:bCs/>
                <w:szCs w:val="24"/>
              </w:rPr>
              <w:t>Pittsburgh, PA 15208</w:t>
            </w:r>
          </w:p>
        </w:tc>
      </w:tr>
      <w:tr w:rsidR="008C6CED" w:rsidRPr="0095321A" w14:paraId="5AB32B9D" w14:textId="77777777" w:rsidTr="00E14C07">
        <w:tc>
          <w:tcPr>
            <w:tcW w:w="4675" w:type="dxa"/>
            <w:vAlign w:val="bottom"/>
          </w:tcPr>
          <w:p w14:paraId="3EA3FCA7" w14:textId="77777777" w:rsidR="008C6CED" w:rsidRPr="0095321A" w:rsidRDefault="008C6CED" w:rsidP="00E14C07">
            <w:pPr>
              <w:widowControl w:val="0"/>
              <w:spacing w:line="276" w:lineRule="auto"/>
              <w:rPr>
                <w:bCs/>
                <w:szCs w:val="24"/>
                <w:highlight w:val="yellow"/>
              </w:rPr>
            </w:pPr>
          </w:p>
        </w:tc>
        <w:tc>
          <w:tcPr>
            <w:tcW w:w="4675" w:type="dxa"/>
            <w:vAlign w:val="bottom"/>
            <w:hideMark/>
          </w:tcPr>
          <w:p w14:paraId="34206AEF" w14:textId="77777777" w:rsidR="008C6CED" w:rsidRPr="00561F84" w:rsidRDefault="008C6CED" w:rsidP="00E14C07">
            <w:pPr>
              <w:widowControl w:val="0"/>
              <w:rPr>
                <w:bCs/>
                <w:szCs w:val="24"/>
              </w:rPr>
            </w:pPr>
            <w:r w:rsidRPr="00561F84">
              <w:rPr>
                <w:bCs/>
                <w:szCs w:val="24"/>
              </w:rPr>
              <w:t>Tel. (412) 877-5220</w:t>
            </w:r>
          </w:p>
        </w:tc>
      </w:tr>
      <w:tr w:rsidR="008C6CED" w:rsidRPr="0095321A" w14:paraId="6958D677" w14:textId="77777777" w:rsidTr="00E14C07">
        <w:tc>
          <w:tcPr>
            <w:tcW w:w="4675" w:type="dxa"/>
            <w:vAlign w:val="bottom"/>
          </w:tcPr>
          <w:p w14:paraId="269D093E" w14:textId="77777777" w:rsidR="008C6CED" w:rsidRPr="0095321A" w:rsidRDefault="008C6CED" w:rsidP="00E14C07">
            <w:pPr>
              <w:widowControl w:val="0"/>
              <w:spacing w:line="276" w:lineRule="auto"/>
              <w:rPr>
                <w:bCs/>
                <w:szCs w:val="24"/>
                <w:highlight w:val="yellow"/>
              </w:rPr>
            </w:pPr>
          </w:p>
        </w:tc>
        <w:tc>
          <w:tcPr>
            <w:tcW w:w="4675" w:type="dxa"/>
            <w:vAlign w:val="bottom"/>
            <w:hideMark/>
          </w:tcPr>
          <w:p w14:paraId="717855E1" w14:textId="77777777" w:rsidR="008C6CED" w:rsidRPr="00561F84" w:rsidRDefault="008C6CED" w:rsidP="00E14C07">
            <w:pPr>
              <w:widowControl w:val="0"/>
              <w:rPr>
                <w:bCs/>
                <w:szCs w:val="24"/>
              </w:rPr>
            </w:pPr>
            <w:r w:rsidRPr="00561F84">
              <w:rPr>
                <w:bCs/>
                <w:szCs w:val="24"/>
              </w:rPr>
              <w:t>ktucker@eastendtrialgroup.com</w:t>
            </w:r>
          </w:p>
          <w:p w14:paraId="30838815" w14:textId="77777777" w:rsidR="008C6CED" w:rsidRPr="00561F84" w:rsidRDefault="008C6CED" w:rsidP="00E14C07">
            <w:pPr>
              <w:widowControl w:val="0"/>
              <w:rPr>
                <w:bCs/>
                <w:szCs w:val="24"/>
              </w:rPr>
            </w:pPr>
            <w:r w:rsidRPr="00561F84">
              <w:rPr>
                <w:bCs/>
                <w:szCs w:val="24"/>
              </w:rPr>
              <w:t>kabramowicz@eastendtrialgroup.com</w:t>
            </w:r>
          </w:p>
          <w:p w14:paraId="41086479" w14:textId="77777777" w:rsidR="008C6CED" w:rsidRPr="00561F84" w:rsidRDefault="008C6CED" w:rsidP="00E14C07">
            <w:pPr>
              <w:widowControl w:val="0"/>
              <w:rPr>
                <w:bCs/>
                <w:szCs w:val="24"/>
              </w:rPr>
            </w:pPr>
            <w:r w:rsidRPr="00561F84">
              <w:rPr>
                <w:bCs/>
                <w:szCs w:val="24"/>
              </w:rPr>
              <w:t>csteiger@eastendtrialgroup.com</w:t>
            </w:r>
          </w:p>
          <w:p w14:paraId="7A033D6F" w14:textId="77777777" w:rsidR="008C6CED" w:rsidRPr="00561F84" w:rsidRDefault="008C6CED" w:rsidP="00E14C07">
            <w:pPr>
              <w:widowControl w:val="0"/>
              <w:rPr>
                <w:bCs/>
                <w:szCs w:val="24"/>
              </w:rPr>
            </w:pPr>
            <w:r w:rsidRPr="00561F84">
              <w:rPr>
                <w:bCs/>
                <w:szCs w:val="24"/>
              </w:rPr>
              <w:t>smoore@eastendtrialgroup.com</w:t>
            </w:r>
          </w:p>
        </w:tc>
      </w:tr>
      <w:tr w:rsidR="008C6CED" w:rsidRPr="0095321A" w14:paraId="031CED11" w14:textId="77777777" w:rsidTr="00E14C07">
        <w:tc>
          <w:tcPr>
            <w:tcW w:w="4675" w:type="dxa"/>
            <w:vAlign w:val="bottom"/>
          </w:tcPr>
          <w:p w14:paraId="102878E9" w14:textId="77777777" w:rsidR="008C6CED" w:rsidRPr="0095321A" w:rsidRDefault="008C6CED" w:rsidP="00E14C07">
            <w:pPr>
              <w:widowControl w:val="0"/>
              <w:spacing w:line="276" w:lineRule="auto"/>
              <w:rPr>
                <w:bCs/>
                <w:szCs w:val="24"/>
                <w:highlight w:val="yellow"/>
              </w:rPr>
            </w:pPr>
          </w:p>
        </w:tc>
        <w:tc>
          <w:tcPr>
            <w:tcW w:w="4675" w:type="dxa"/>
            <w:tcBorders>
              <w:left w:val="nil"/>
              <w:bottom w:val="nil"/>
              <w:right w:val="nil"/>
            </w:tcBorders>
          </w:tcPr>
          <w:p w14:paraId="7BB348C6" w14:textId="77777777" w:rsidR="008C6CED" w:rsidRPr="00561F84" w:rsidRDefault="008C6CED" w:rsidP="00E14C07">
            <w:pPr>
              <w:widowControl w:val="0"/>
              <w:spacing w:line="276" w:lineRule="auto"/>
              <w:rPr>
                <w:i/>
                <w:iCs/>
                <w:szCs w:val="24"/>
              </w:rPr>
            </w:pPr>
          </w:p>
          <w:p w14:paraId="27FBD4BC" w14:textId="77777777" w:rsidR="008C6CED" w:rsidRPr="00561F84" w:rsidRDefault="008C6CED" w:rsidP="00E14C07">
            <w:pPr>
              <w:widowControl w:val="0"/>
              <w:spacing w:line="276" w:lineRule="auto"/>
              <w:rPr>
                <w:bCs/>
                <w:szCs w:val="24"/>
              </w:rPr>
            </w:pPr>
            <w:r w:rsidRPr="00561F84">
              <w:rPr>
                <w:i/>
                <w:iCs/>
                <w:szCs w:val="24"/>
              </w:rPr>
              <w:t xml:space="preserve">Counsel for Plaintiff and </w:t>
            </w:r>
            <w:r>
              <w:rPr>
                <w:i/>
                <w:iCs/>
                <w:szCs w:val="24"/>
              </w:rPr>
              <w:t xml:space="preserve">the </w:t>
            </w:r>
            <w:r w:rsidRPr="00561F84">
              <w:rPr>
                <w:i/>
                <w:iCs/>
                <w:szCs w:val="24"/>
              </w:rPr>
              <w:t>Class</w:t>
            </w:r>
          </w:p>
        </w:tc>
        <w:bookmarkEnd w:id="3"/>
      </w:tr>
    </w:tbl>
    <w:p w14:paraId="69C2D203" w14:textId="2EBC674A" w:rsidR="00E87F2E" w:rsidRPr="000C6BC1" w:rsidRDefault="00E87F2E" w:rsidP="00905F0F">
      <w:pPr>
        <w:keepNext/>
        <w:spacing w:line="480" w:lineRule="auto"/>
        <w:rPr>
          <w:szCs w:val="24"/>
          <w:highlight w:val="yellow"/>
        </w:rPr>
      </w:pPr>
      <w:r w:rsidRPr="000C6BC1">
        <w:rPr>
          <w:szCs w:val="24"/>
          <w:highlight w:val="yellow"/>
        </w:rPr>
        <w:br w:type="page"/>
      </w:r>
    </w:p>
    <w:bookmarkEnd w:id="0"/>
    <w:p w14:paraId="0558173C" w14:textId="77777777" w:rsidR="007E68B7" w:rsidRPr="007D2554" w:rsidRDefault="007E68B7" w:rsidP="007E68B7">
      <w:pPr>
        <w:tabs>
          <w:tab w:val="left" w:pos="4320"/>
        </w:tabs>
        <w:jc w:val="center"/>
        <w:rPr>
          <w:b/>
          <w:bCs/>
          <w:szCs w:val="24"/>
          <w:u w:val="single"/>
        </w:rPr>
      </w:pPr>
      <w:r w:rsidRPr="007D2554">
        <w:rPr>
          <w:b/>
          <w:bCs/>
          <w:szCs w:val="24"/>
          <w:u w:val="single"/>
        </w:rPr>
        <w:lastRenderedPageBreak/>
        <w:t>CERTIFICATE OF SERVICE</w:t>
      </w:r>
    </w:p>
    <w:p w14:paraId="1F8011D2" w14:textId="77777777" w:rsidR="007E68B7" w:rsidRPr="007D2554" w:rsidRDefault="007E68B7" w:rsidP="007E68B7">
      <w:pPr>
        <w:tabs>
          <w:tab w:val="left" w:pos="4320"/>
        </w:tabs>
        <w:rPr>
          <w:szCs w:val="24"/>
        </w:rPr>
      </w:pPr>
    </w:p>
    <w:p w14:paraId="0F386189" w14:textId="4ED0CE00" w:rsidR="007E68B7" w:rsidRPr="007D2554" w:rsidRDefault="007E68B7" w:rsidP="007E68B7">
      <w:pPr>
        <w:spacing w:line="480" w:lineRule="auto"/>
        <w:jc w:val="both"/>
        <w:rPr>
          <w:szCs w:val="24"/>
        </w:rPr>
      </w:pPr>
      <w:r w:rsidRPr="007D2554">
        <w:rPr>
          <w:szCs w:val="24"/>
        </w:rPr>
        <w:tab/>
        <w:t xml:space="preserve">I hereby certify that, </w:t>
      </w:r>
      <w:r w:rsidRPr="0098489D">
        <w:rPr>
          <w:szCs w:val="24"/>
        </w:rPr>
        <w:t xml:space="preserve">on June </w:t>
      </w:r>
      <w:r w:rsidR="0098489D" w:rsidRPr="0098489D">
        <w:rPr>
          <w:szCs w:val="24"/>
        </w:rPr>
        <w:t>6</w:t>
      </w:r>
      <w:r w:rsidRPr="0098489D">
        <w:rPr>
          <w:szCs w:val="24"/>
        </w:rPr>
        <w:t>, 2023</w:t>
      </w:r>
      <w:r w:rsidRPr="007D2554">
        <w:rPr>
          <w:szCs w:val="24"/>
        </w:rPr>
        <w:t xml:space="preserve">, a true and correct copy of this document was filed </w:t>
      </w:r>
      <w:r>
        <w:rPr>
          <w:szCs w:val="24"/>
        </w:rPr>
        <w:t>through the</w:t>
      </w:r>
      <w:r w:rsidRPr="007D2554">
        <w:rPr>
          <w:szCs w:val="24"/>
        </w:rPr>
        <w:t xml:space="preserve"> Court</w:t>
      </w:r>
      <w:r>
        <w:rPr>
          <w:szCs w:val="24"/>
        </w:rPr>
        <w:t>’s</w:t>
      </w:r>
      <w:r w:rsidRPr="007D2554">
        <w:rPr>
          <w:szCs w:val="24"/>
        </w:rPr>
        <w:t xml:space="preserve"> CM/ECF system</w:t>
      </w:r>
      <w:r>
        <w:rPr>
          <w:szCs w:val="24"/>
        </w:rPr>
        <w:t>,</w:t>
      </w:r>
      <w:r w:rsidRPr="007D2554">
        <w:rPr>
          <w:szCs w:val="24"/>
        </w:rPr>
        <w:t xml:space="preserve"> which sent notice of such filing to all counsel of record.</w:t>
      </w:r>
    </w:p>
    <w:p w14:paraId="010279BF" w14:textId="77777777" w:rsidR="007E68B7" w:rsidRPr="007D2554" w:rsidRDefault="007E68B7" w:rsidP="007E68B7">
      <w:pPr>
        <w:rPr>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7E68B7" w:rsidRPr="007D2554" w14:paraId="030CBF28" w14:textId="77777777" w:rsidTr="00E14C07">
        <w:trPr>
          <w:jc w:val="right"/>
        </w:trPr>
        <w:tc>
          <w:tcPr>
            <w:tcW w:w="4675" w:type="dxa"/>
            <w:tcBorders>
              <w:bottom w:val="single" w:sz="4" w:space="0" w:color="auto"/>
            </w:tcBorders>
            <w:vAlign w:val="bottom"/>
          </w:tcPr>
          <w:p w14:paraId="570557F9" w14:textId="77777777" w:rsidR="007E68B7" w:rsidRPr="007D2554" w:rsidRDefault="007E68B7" w:rsidP="00E14C07">
            <w:pPr>
              <w:rPr>
                <w:bCs/>
                <w:i/>
                <w:iCs/>
                <w:szCs w:val="24"/>
              </w:rPr>
            </w:pPr>
            <w:r w:rsidRPr="007D2554">
              <w:rPr>
                <w:bCs/>
                <w:i/>
                <w:iCs/>
                <w:szCs w:val="24"/>
              </w:rPr>
              <w:t>/s/ Chandler Steiger</w:t>
            </w:r>
          </w:p>
        </w:tc>
      </w:tr>
      <w:tr w:rsidR="007E68B7" w:rsidRPr="0095321A" w14:paraId="076272BB" w14:textId="77777777" w:rsidTr="00E14C07">
        <w:trPr>
          <w:jc w:val="right"/>
        </w:trPr>
        <w:tc>
          <w:tcPr>
            <w:tcW w:w="4675" w:type="dxa"/>
            <w:tcBorders>
              <w:top w:val="single" w:sz="4" w:space="0" w:color="auto"/>
            </w:tcBorders>
            <w:vAlign w:val="bottom"/>
          </w:tcPr>
          <w:p w14:paraId="1B0E1C5A" w14:textId="77777777" w:rsidR="007E68B7" w:rsidRPr="0095321A" w:rsidRDefault="007E68B7" w:rsidP="00E14C07">
            <w:pPr>
              <w:rPr>
                <w:bCs/>
                <w:szCs w:val="24"/>
              </w:rPr>
            </w:pPr>
            <w:r w:rsidRPr="007D2554">
              <w:rPr>
                <w:bCs/>
                <w:szCs w:val="24"/>
              </w:rPr>
              <w:t>Chandler Steiger</w:t>
            </w:r>
          </w:p>
        </w:tc>
      </w:tr>
    </w:tbl>
    <w:p w14:paraId="46DE781C" w14:textId="77777777" w:rsidR="00BD57E1" w:rsidRPr="000C6BC1" w:rsidRDefault="00BD57E1" w:rsidP="007E68B7">
      <w:pPr>
        <w:spacing w:line="480" w:lineRule="auto"/>
        <w:rPr>
          <w:szCs w:val="24"/>
        </w:rPr>
      </w:pPr>
    </w:p>
    <w:sectPr w:rsidR="00BD57E1" w:rsidRPr="000C6BC1" w:rsidSect="002F792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2ADC" w14:textId="77777777" w:rsidR="00FD7DCD" w:rsidRDefault="00FD7DCD" w:rsidP="00426FBD">
      <w:r>
        <w:separator/>
      </w:r>
    </w:p>
  </w:endnote>
  <w:endnote w:type="continuationSeparator" w:id="0">
    <w:p w14:paraId="6F7FCE55" w14:textId="77777777" w:rsidR="00FD7DCD" w:rsidRDefault="00FD7DCD" w:rsidP="0042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920817"/>
      <w:docPartObj>
        <w:docPartGallery w:val="Page Numbers (Bottom of Page)"/>
        <w:docPartUnique/>
      </w:docPartObj>
    </w:sdtPr>
    <w:sdtEndPr>
      <w:rPr>
        <w:noProof/>
      </w:rPr>
    </w:sdtEndPr>
    <w:sdtContent>
      <w:p w14:paraId="7CFD5941" w14:textId="796CDFBA" w:rsidR="002F792D" w:rsidRDefault="002F792D" w:rsidP="002F7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7493" w14:textId="77777777" w:rsidR="00FD7DCD" w:rsidRDefault="00FD7DCD" w:rsidP="00426FBD">
      <w:r>
        <w:separator/>
      </w:r>
    </w:p>
  </w:footnote>
  <w:footnote w:type="continuationSeparator" w:id="0">
    <w:p w14:paraId="4179D566" w14:textId="77777777" w:rsidR="00FD7DCD" w:rsidRDefault="00FD7DCD" w:rsidP="00426FBD">
      <w:r>
        <w:continuationSeparator/>
      </w:r>
    </w:p>
  </w:footnote>
  <w:footnote w:id="1">
    <w:p w14:paraId="1A5AFBC1" w14:textId="451180BC" w:rsidR="004A66A0" w:rsidRPr="0060706E" w:rsidRDefault="004A66A0" w:rsidP="00B215E7">
      <w:pPr>
        <w:pStyle w:val="FootnoteText"/>
        <w:spacing w:after="120"/>
        <w:jc w:val="both"/>
        <w:rPr>
          <w:sz w:val="24"/>
          <w:szCs w:val="24"/>
        </w:rPr>
      </w:pPr>
      <w:r w:rsidRPr="0060706E">
        <w:rPr>
          <w:rStyle w:val="FootnoteReference"/>
          <w:sz w:val="24"/>
          <w:szCs w:val="24"/>
        </w:rPr>
        <w:footnoteRef/>
      </w:r>
      <w:r w:rsidRPr="0060706E">
        <w:rPr>
          <w:sz w:val="24"/>
          <w:szCs w:val="24"/>
        </w:rPr>
        <w:t xml:space="preserve"> Unless otherwise defined herein, capitalized terms have the meaning set forth in </w:t>
      </w:r>
      <w:r w:rsidR="00FD58F4" w:rsidRPr="0060706E">
        <w:rPr>
          <w:sz w:val="24"/>
          <w:szCs w:val="24"/>
        </w:rPr>
        <w:t>the Agreement</w:t>
      </w:r>
      <w:r w:rsidR="003E7297" w:rsidRPr="0060706E">
        <w:rPr>
          <w:sz w:val="24"/>
          <w:szCs w:val="24"/>
        </w:rPr>
        <w:t xml:space="preserve">, which is available at Doc. </w:t>
      </w:r>
      <w:r w:rsidR="0060706E" w:rsidRPr="0060706E">
        <w:rPr>
          <w:sz w:val="24"/>
          <w:szCs w:val="24"/>
        </w:rPr>
        <w:t>12</w:t>
      </w:r>
      <w:r w:rsidR="003E7297" w:rsidRPr="0060706E">
        <w:rPr>
          <w:sz w:val="24"/>
          <w:szCs w:val="24"/>
        </w:rPr>
        <w:t>-1.</w:t>
      </w:r>
    </w:p>
  </w:footnote>
  <w:footnote w:id="2">
    <w:p w14:paraId="7B317948" w14:textId="293189B4" w:rsidR="00CD67C7" w:rsidRPr="00B80A2C" w:rsidRDefault="00CD67C7" w:rsidP="00CD67C7">
      <w:pPr>
        <w:pStyle w:val="FootnoteText"/>
        <w:spacing w:after="120"/>
        <w:jc w:val="both"/>
        <w:rPr>
          <w:sz w:val="24"/>
          <w:szCs w:val="24"/>
          <w:highlight w:val="yellow"/>
        </w:rPr>
      </w:pPr>
      <w:r w:rsidRPr="00CD67C7">
        <w:rPr>
          <w:rStyle w:val="FootnoteReference"/>
          <w:sz w:val="24"/>
          <w:szCs w:val="24"/>
        </w:rPr>
        <w:footnoteRef/>
      </w:r>
      <w:r w:rsidRPr="00CD67C7">
        <w:rPr>
          <w:sz w:val="24"/>
          <w:szCs w:val="24"/>
        </w:rPr>
        <w:t xml:space="preserve"> For a more detailed summary of the Agreement, </w:t>
      </w:r>
      <w:r w:rsidRPr="00CD67C7">
        <w:rPr>
          <w:i/>
          <w:iCs/>
          <w:sz w:val="24"/>
          <w:szCs w:val="24"/>
        </w:rPr>
        <w:t>see</w:t>
      </w:r>
      <w:r w:rsidRPr="00CD67C7">
        <w:rPr>
          <w:sz w:val="24"/>
          <w:szCs w:val="24"/>
        </w:rPr>
        <w:t xml:space="preserve"> Doc. 13 at pp. 2-8, </w:t>
      </w:r>
      <w:r w:rsidRPr="004367A1">
        <w:rPr>
          <w:sz w:val="24"/>
          <w:szCs w:val="24"/>
        </w:rPr>
        <w:t xml:space="preserve">Doc. </w:t>
      </w:r>
      <w:r w:rsidR="002055A9" w:rsidRPr="004367A1">
        <w:rPr>
          <w:sz w:val="24"/>
          <w:szCs w:val="24"/>
        </w:rPr>
        <w:t>2</w:t>
      </w:r>
      <w:r w:rsidR="00A329BB">
        <w:rPr>
          <w:sz w:val="24"/>
          <w:szCs w:val="24"/>
        </w:rPr>
        <w:t>1</w:t>
      </w:r>
      <w:r w:rsidRPr="004367A1">
        <w:rPr>
          <w:sz w:val="24"/>
          <w:szCs w:val="24"/>
        </w:rPr>
        <w:t xml:space="preserve"> at pp. </w:t>
      </w:r>
      <w:r w:rsidR="002055A9" w:rsidRPr="004367A1">
        <w:rPr>
          <w:sz w:val="24"/>
          <w:szCs w:val="24"/>
        </w:rPr>
        <w:t>2</w:t>
      </w:r>
      <w:r w:rsidRPr="004367A1">
        <w:rPr>
          <w:sz w:val="24"/>
          <w:szCs w:val="24"/>
        </w:rPr>
        <w:t>-</w:t>
      </w:r>
      <w:r w:rsidR="002055A9" w:rsidRPr="004367A1">
        <w:rPr>
          <w:sz w:val="24"/>
          <w:szCs w:val="24"/>
        </w:rPr>
        <w:t>5</w:t>
      </w:r>
      <w:r w:rsidRPr="00CD67C7">
        <w:rPr>
          <w:sz w:val="24"/>
          <w:szCs w:val="24"/>
        </w:rPr>
        <w:t>.</w:t>
      </w:r>
    </w:p>
  </w:footnote>
  <w:footnote w:id="3">
    <w:p w14:paraId="560C0BE1" w14:textId="448CAEA9" w:rsidR="003E5D02" w:rsidRPr="00954A8D" w:rsidRDefault="003E5D02" w:rsidP="00B215E7">
      <w:pPr>
        <w:pStyle w:val="FootnoteText"/>
        <w:spacing w:after="120"/>
        <w:jc w:val="both"/>
        <w:rPr>
          <w:sz w:val="24"/>
          <w:szCs w:val="24"/>
        </w:rPr>
      </w:pPr>
      <w:r w:rsidRPr="00954A8D">
        <w:rPr>
          <w:rStyle w:val="FootnoteReference"/>
          <w:sz w:val="24"/>
          <w:szCs w:val="24"/>
        </w:rPr>
        <w:footnoteRef/>
      </w:r>
      <w:r w:rsidRPr="00954A8D">
        <w:rPr>
          <w:sz w:val="24"/>
          <w:szCs w:val="24"/>
        </w:rPr>
        <w:t xml:space="preserve"> “In statutory fee cases, it is well settled in this circuit that . . . the district court may not award less in fees than requested unless the opposing party makes specific objections to the fee request.” </w:t>
      </w:r>
      <w:r w:rsidRPr="00954A8D">
        <w:rPr>
          <w:i/>
          <w:iCs/>
          <w:sz w:val="24"/>
          <w:szCs w:val="24"/>
        </w:rPr>
        <w:t>United States v. Eleven Vehicles</w:t>
      </w:r>
      <w:r w:rsidR="009570A4" w:rsidRPr="00954A8D">
        <w:rPr>
          <w:i/>
          <w:iCs/>
          <w:sz w:val="24"/>
          <w:szCs w:val="24"/>
        </w:rPr>
        <w:t>, Their Equip. &amp; Accessories</w:t>
      </w:r>
      <w:r w:rsidRPr="00954A8D">
        <w:rPr>
          <w:sz w:val="24"/>
          <w:szCs w:val="24"/>
        </w:rPr>
        <w:t>, 200 F.3d 203, 211 (3d Cir. 2000).</w:t>
      </w:r>
    </w:p>
  </w:footnote>
  <w:footnote w:id="4">
    <w:p w14:paraId="1B71DABA" w14:textId="5A32F6AD" w:rsidR="00A84718" w:rsidRPr="00BA7FFE" w:rsidRDefault="00A84718" w:rsidP="00B215E7">
      <w:pPr>
        <w:pStyle w:val="FootnoteText"/>
        <w:spacing w:after="120"/>
        <w:jc w:val="both"/>
        <w:rPr>
          <w:sz w:val="24"/>
          <w:szCs w:val="24"/>
        </w:rPr>
      </w:pPr>
      <w:r w:rsidRPr="00BA7FFE">
        <w:rPr>
          <w:rStyle w:val="FootnoteReference"/>
          <w:sz w:val="24"/>
          <w:szCs w:val="24"/>
        </w:rPr>
        <w:footnoteRef/>
      </w:r>
      <w:r w:rsidRPr="00BA7FFE">
        <w:rPr>
          <w:sz w:val="24"/>
          <w:szCs w:val="24"/>
        </w:rPr>
        <w:t xml:space="preserve"> </w:t>
      </w:r>
      <w:r w:rsidRPr="00BA7FFE">
        <w:rPr>
          <w:i/>
          <w:iCs/>
          <w:sz w:val="24"/>
          <w:szCs w:val="24"/>
        </w:rPr>
        <w:t>See</w:t>
      </w:r>
      <w:r w:rsidRPr="00BA7FFE">
        <w:rPr>
          <w:sz w:val="24"/>
          <w:szCs w:val="24"/>
        </w:rPr>
        <w:t xml:space="preserve"> Exhibit A to Plaintiff’s Motion </w:t>
      </w:r>
      <w:r w:rsidR="00BA7FFE" w:rsidRPr="00BA7FFE">
        <w:rPr>
          <w:sz w:val="24"/>
          <w:szCs w:val="24"/>
        </w:rPr>
        <w:t>F</w:t>
      </w:r>
      <w:r w:rsidRPr="00BA7FFE">
        <w:rPr>
          <w:sz w:val="24"/>
          <w:szCs w:val="24"/>
        </w:rPr>
        <w:t xml:space="preserve">or Attorneys’ Fees </w:t>
      </w:r>
      <w:r w:rsidR="00BA7FFE" w:rsidRPr="00BA7FFE">
        <w:rPr>
          <w:sz w:val="24"/>
          <w:szCs w:val="24"/>
        </w:rPr>
        <w:t>A</w:t>
      </w:r>
      <w:r w:rsidRPr="00BA7FFE">
        <w:rPr>
          <w:sz w:val="24"/>
          <w:szCs w:val="24"/>
        </w:rPr>
        <w:t>nd Incentive Award</w:t>
      </w:r>
      <w:r w:rsidR="00900653" w:rsidRPr="00BA7FFE">
        <w:rPr>
          <w:sz w:val="24"/>
          <w:szCs w:val="24"/>
        </w:rPr>
        <w:t>.</w:t>
      </w:r>
    </w:p>
  </w:footnote>
  <w:footnote w:id="5">
    <w:p w14:paraId="06F9A156" w14:textId="17D185B6" w:rsidR="006E28EC" w:rsidRPr="00B80A2C" w:rsidRDefault="006E28EC">
      <w:pPr>
        <w:pStyle w:val="FootnoteText"/>
        <w:rPr>
          <w:i/>
          <w:iCs/>
          <w:sz w:val="24"/>
          <w:szCs w:val="24"/>
          <w:highlight w:val="yellow"/>
        </w:rPr>
      </w:pPr>
      <w:r w:rsidRPr="003A2A61">
        <w:rPr>
          <w:rStyle w:val="FootnoteReference"/>
          <w:sz w:val="24"/>
          <w:szCs w:val="24"/>
        </w:rPr>
        <w:footnoteRef/>
      </w:r>
      <w:r w:rsidRPr="003A2A61">
        <w:rPr>
          <w:sz w:val="24"/>
          <w:szCs w:val="24"/>
        </w:rPr>
        <w:t xml:space="preserve"> </w:t>
      </w:r>
      <w:r w:rsidRPr="003A2A61">
        <w:rPr>
          <w:i/>
          <w:iCs/>
          <w:sz w:val="24"/>
          <w:szCs w:val="24"/>
        </w:rPr>
        <w:t>See Johnson v. Ga</w:t>
      </w:r>
      <w:r w:rsidR="00123287" w:rsidRPr="003A2A61">
        <w:rPr>
          <w:i/>
          <w:iCs/>
          <w:sz w:val="24"/>
          <w:szCs w:val="24"/>
        </w:rPr>
        <w:t>.</w:t>
      </w:r>
      <w:r w:rsidRPr="003A2A61">
        <w:rPr>
          <w:i/>
          <w:iCs/>
          <w:sz w:val="24"/>
          <w:szCs w:val="24"/>
        </w:rPr>
        <w:t xml:space="preserve"> Highway Express, Inc.</w:t>
      </w:r>
      <w:r w:rsidRPr="003A2A61">
        <w:rPr>
          <w:sz w:val="24"/>
          <w:szCs w:val="24"/>
        </w:rPr>
        <w:t>, 488 F.2d 714, 717-19 (5th Cir. 1974).</w:t>
      </w:r>
    </w:p>
  </w:footnote>
  <w:footnote w:id="6">
    <w:p w14:paraId="766670A8" w14:textId="0AC21A43" w:rsidR="00093BC2" w:rsidRPr="002C41FE" w:rsidRDefault="00093BC2" w:rsidP="00B215E7">
      <w:pPr>
        <w:pStyle w:val="FootnoteText"/>
        <w:spacing w:after="120"/>
        <w:jc w:val="both"/>
        <w:rPr>
          <w:sz w:val="24"/>
          <w:szCs w:val="24"/>
        </w:rPr>
      </w:pPr>
      <w:r w:rsidRPr="002C41FE">
        <w:rPr>
          <w:rStyle w:val="FootnoteReference"/>
          <w:sz w:val="24"/>
          <w:szCs w:val="24"/>
        </w:rPr>
        <w:footnoteRef/>
      </w:r>
      <w:r w:rsidRPr="002C41FE">
        <w:rPr>
          <w:sz w:val="24"/>
          <w:szCs w:val="24"/>
        </w:rPr>
        <w:t xml:space="preserve"> The DOJ recognizes that because it “cannot investigate every place of public accommodation” for ADA compliance, “[p]rivate plaintiffs play an important role in enforcing the ADA[.]” Statement of Interest of the United States of America, </w:t>
      </w:r>
      <w:r w:rsidRPr="002C41FE">
        <w:rPr>
          <w:i/>
          <w:iCs/>
          <w:sz w:val="24"/>
          <w:szCs w:val="24"/>
        </w:rPr>
        <w:t>E</w:t>
      </w:r>
      <w:r w:rsidR="000639C2" w:rsidRPr="002C41FE">
        <w:rPr>
          <w:i/>
          <w:iCs/>
          <w:sz w:val="24"/>
          <w:szCs w:val="24"/>
        </w:rPr>
        <w:t xml:space="preserve">qual </w:t>
      </w:r>
      <w:r w:rsidRPr="002C41FE">
        <w:rPr>
          <w:i/>
          <w:iCs/>
          <w:sz w:val="24"/>
          <w:szCs w:val="24"/>
        </w:rPr>
        <w:t>R</w:t>
      </w:r>
      <w:r w:rsidR="000639C2" w:rsidRPr="002C41FE">
        <w:rPr>
          <w:i/>
          <w:iCs/>
          <w:sz w:val="24"/>
          <w:szCs w:val="24"/>
        </w:rPr>
        <w:t xml:space="preserve">ights </w:t>
      </w:r>
      <w:r w:rsidRPr="002C41FE">
        <w:rPr>
          <w:i/>
          <w:iCs/>
          <w:sz w:val="24"/>
          <w:szCs w:val="24"/>
        </w:rPr>
        <w:t>C</w:t>
      </w:r>
      <w:r w:rsidR="000639C2" w:rsidRPr="002C41FE">
        <w:rPr>
          <w:i/>
          <w:iCs/>
          <w:sz w:val="24"/>
          <w:szCs w:val="24"/>
        </w:rPr>
        <w:t>enter</w:t>
      </w:r>
      <w:r w:rsidRPr="002C41FE">
        <w:rPr>
          <w:i/>
          <w:iCs/>
          <w:sz w:val="24"/>
          <w:szCs w:val="24"/>
        </w:rPr>
        <w:t xml:space="preserve"> v. Abercrombie &amp; Fitch Co</w:t>
      </w:r>
      <w:r w:rsidRPr="002C41FE">
        <w:rPr>
          <w:sz w:val="24"/>
          <w:szCs w:val="24"/>
        </w:rPr>
        <w:t>., No. 1:09-cv-03157, Doc. 38, p. 1 (D. Md. July 6, 2010).</w:t>
      </w:r>
    </w:p>
  </w:footnote>
  <w:footnote w:id="7">
    <w:p w14:paraId="09CFC299" w14:textId="49494806" w:rsidR="00093BC2" w:rsidRPr="009B17C7" w:rsidRDefault="00093BC2" w:rsidP="00B215E7">
      <w:pPr>
        <w:pStyle w:val="FootnoteText"/>
        <w:spacing w:after="120"/>
        <w:jc w:val="both"/>
        <w:rPr>
          <w:sz w:val="24"/>
          <w:szCs w:val="24"/>
        </w:rPr>
      </w:pPr>
      <w:r w:rsidRPr="00215E15">
        <w:rPr>
          <w:rStyle w:val="FootnoteReference"/>
          <w:sz w:val="24"/>
          <w:szCs w:val="24"/>
        </w:rPr>
        <w:footnoteRef/>
      </w:r>
      <w:r w:rsidRPr="00215E15">
        <w:rPr>
          <w:sz w:val="24"/>
          <w:szCs w:val="24"/>
        </w:rPr>
        <w:t xml:space="preserve"> </w:t>
      </w:r>
      <w:r w:rsidRPr="00215E15">
        <w:rPr>
          <w:i/>
          <w:iCs/>
          <w:sz w:val="24"/>
          <w:szCs w:val="24"/>
        </w:rPr>
        <w:t>Justice Department Issues Web Accessibility Guidance Under the Americans with Disabilities Act</w:t>
      </w:r>
      <w:r w:rsidRPr="00215E15">
        <w:rPr>
          <w:sz w:val="24"/>
          <w:szCs w:val="24"/>
        </w:rPr>
        <w:t>, DOJ</w:t>
      </w:r>
      <w:r w:rsidR="00061CC7" w:rsidRPr="00215E15">
        <w:rPr>
          <w:sz w:val="24"/>
          <w:szCs w:val="24"/>
        </w:rPr>
        <w:t xml:space="preserve"> (</w:t>
      </w:r>
      <w:r w:rsidRPr="00215E15">
        <w:rPr>
          <w:sz w:val="24"/>
          <w:szCs w:val="24"/>
        </w:rPr>
        <w:t>Mar. 18, 2022</w:t>
      </w:r>
      <w:r w:rsidR="00061CC7" w:rsidRPr="00215E15">
        <w:rPr>
          <w:sz w:val="24"/>
          <w:szCs w:val="24"/>
        </w:rPr>
        <w:t>),</w:t>
      </w:r>
      <w:r w:rsidRPr="00215E15">
        <w:rPr>
          <w:sz w:val="24"/>
          <w:szCs w:val="24"/>
        </w:rPr>
        <w:t xml:space="preserve"> </w:t>
      </w:r>
      <w:hyperlink r:id="rId1" w:history="1">
        <w:r w:rsidRPr="00215E15">
          <w:rPr>
            <w:rStyle w:val="Hyperlink"/>
            <w:sz w:val="24"/>
            <w:szCs w:val="24"/>
          </w:rPr>
          <w:t>https://www.justice.gov/opa/pr/justice-department-issues-web-accessibility-guidance-under-americans-disabilities-act</w:t>
        </w:r>
      </w:hyperlink>
      <w:r w:rsidRPr="00215E15">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601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9434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2420D3"/>
    <w:multiLevelType w:val="hybridMultilevel"/>
    <w:tmpl w:val="FDD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865E"/>
    <w:multiLevelType w:val="hybridMultilevel"/>
    <w:tmpl w:val="F92F42D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C05B7C"/>
    <w:multiLevelType w:val="hybridMultilevel"/>
    <w:tmpl w:val="DBC4AE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C23FFC"/>
    <w:multiLevelType w:val="hybridMultilevel"/>
    <w:tmpl w:val="19A66038"/>
    <w:lvl w:ilvl="0" w:tplc="FFFFFFFF">
      <w:start w:val="1"/>
      <w:numFmt w:val="decimal"/>
      <w:lvlText w:val="%1."/>
      <w:lvlJc w:val="left"/>
      <w:pPr>
        <w:tabs>
          <w:tab w:val="num" w:pos="1440"/>
        </w:tabs>
        <w:ind w:left="1440" w:hanging="720"/>
      </w:pPr>
      <w:rPr>
        <w:b w:val="0"/>
      </w:rPr>
    </w:lvl>
    <w:lvl w:ilvl="1" w:tplc="EE7C94BA">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DB3583"/>
    <w:multiLevelType w:val="hybridMultilevel"/>
    <w:tmpl w:val="A8D6B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035026"/>
    <w:multiLevelType w:val="hybridMultilevel"/>
    <w:tmpl w:val="3676C1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A1163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5D43C7"/>
    <w:multiLevelType w:val="hybridMultilevel"/>
    <w:tmpl w:val="6B74A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A5483"/>
    <w:multiLevelType w:val="hybridMultilevel"/>
    <w:tmpl w:val="E286F1BC"/>
    <w:lvl w:ilvl="0" w:tplc="4B94DD4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6487D"/>
    <w:multiLevelType w:val="hybridMultilevel"/>
    <w:tmpl w:val="74985098"/>
    <w:lvl w:ilvl="0" w:tplc="1436CF32">
      <w:start w:val="1"/>
      <w:numFmt w:val="upperRoman"/>
      <w:lvlText w:val="%1."/>
      <w:lvlJc w:val="left"/>
      <w:pPr>
        <w:ind w:left="720" w:hanging="360"/>
      </w:pPr>
      <w:rPr>
        <w:rFonts w:hint="default"/>
        <w:b w:val="0"/>
        <w:bCs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623E770C">
      <w:start w:val="1"/>
      <w:numFmt w:val="lowerLetter"/>
      <w:lvlText w:val="(%4)"/>
      <w:lvlJc w:val="left"/>
      <w:pPr>
        <w:ind w:left="288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27A33"/>
    <w:multiLevelType w:val="hybridMultilevel"/>
    <w:tmpl w:val="F1B685AE"/>
    <w:lvl w:ilvl="0" w:tplc="F59C25A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866EF2"/>
    <w:multiLevelType w:val="hybridMultilevel"/>
    <w:tmpl w:val="8954E14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7C2633"/>
    <w:multiLevelType w:val="hybridMultilevel"/>
    <w:tmpl w:val="261699CE"/>
    <w:lvl w:ilvl="0" w:tplc="A4A4D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26B83"/>
    <w:multiLevelType w:val="hybridMultilevel"/>
    <w:tmpl w:val="04F0EBA6"/>
    <w:lvl w:ilvl="0" w:tplc="6BF043D6">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600BB"/>
    <w:multiLevelType w:val="hybridMultilevel"/>
    <w:tmpl w:val="6DCE1590"/>
    <w:lvl w:ilvl="0" w:tplc="9426FA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6330BC0"/>
    <w:multiLevelType w:val="hybridMultilevel"/>
    <w:tmpl w:val="2A30D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76786"/>
    <w:multiLevelType w:val="hybridMultilevel"/>
    <w:tmpl w:val="B1C2D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1674B9"/>
    <w:multiLevelType w:val="hybridMultilevel"/>
    <w:tmpl w:val="5454A3B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777C21A9"/>
    <w:multiLevelType w:val="hybridMultilevel"/>
    <w:tmpl w:val="2320CD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2E58C9"/>
    <w:multiLevelType w:val="hybridMultilevel"/>
    <w:tmpl w:val="B600D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399982">
    <w:abstractNumId w:val="14"/>
  </w:num>
  <w:num w:numId="2" w16cid:durableId="926033791">
    <w:abstractNumId w:val="9"/>
  </w:num>
  <w:num w:numId="3" w16cid:durableId="2101414336">
    <w:abstractNumId w:val="21"/>
  </w:num>
  <w:num w:numId="4" w16cid:durableId="655185840">
    <w:abstractNumId w:val="3"/>
  </w:num>
  <w:num w:numId="5" w16cid:durableId="879710961">
    <w:abstractNumId w:val="20"/>
  </w:num>
  <w:num w:numId="6" w16cid:durableId="849024329">
    <w:abstractNumId w:val="11"/>
  </w:num>
  <w:num w:numId="7" w16cid:durableId="934898080">
    <w:abstractNumId w:val="15"/>
  </w:num>
  <w:num w:numId="8" w16cid:durableId="651451064">
    <w:abstractNumId w:val="10"/>
  </w:num>
  <w:num w:numId="9" w16cid:durableId="1808157006">
    <w:abstractNumId w:val="17"/>
  </w:num>
  <w:num w:numId="10" w16cid:durableId="1637296950">
    <w:abstractNumId w:val="18"/>
  </w:num>
  <w:num w:numId="11" w16cid:durableId="445849461">
    <w:abstractNumId w:val="13"/>
  </w:num>
  <w:num w:numId="12" w16cid:durableId="1985548313">
    <w:abstractNumId w:val="12"/>
  </w:num>
  <w:num w:numId="13" w16cid:durableId="458383442">
    <w:abstractNumId w:val="4"/>
  </w:num>
  <w:num w:numId="14" w16cid:durableId="708065627">
    <w:abstractNumId w:val="5"/>
  </w:num>
  <w:num w:numId="15" w16cid:durableId="532427761">
    <w:abstractNumId w:val="16"/>
  </w:num>
  <w:num w:numId="16" w16cid:durableId="1414276604">
    <w:abstractNumId w:val="7"/>
  </w:num>
  <w:num w:numId="17" w16cid:durableId="957487633">
    <w:abstractNumId w:val="6"/>
  </w:num>
  <w:num w:numId="18" w16cid:durableId="2012416349">
    <w:abstractNumId w:val="19"/>
  </w:num>
  <w:num w:numId="19" w16cid:durableId="707536735">
    <w:abstractNumId w:val="8"/>
  </w:num>
  <w:num w:numId="20" w16cid:durableId="424107191">
    <w:abstractNumId w:val="0"/>
  </w:num>
  <w:num w:numId="21" w16cid:durableId="1724401782">
    <w:abstractNumId w:val="2"/>
  </w:num>
  <w:num w:numId="22" w16cid:durableId="183097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NgCSRmYWZmYGpko6SsGpxcWZ+XkgBZa1AKGyraIsAAAA"/>
  </w:docVars>
  <w:rsids>
    <w:rsidRoot w:val="00C1723D"/>
    <w:rsid w:val="000000FB"/>
    <w:rsid w:val="000003E5"/>
    <w:rsid w:val="00002455"/>
    <w:rsid w:val="00004A5E"/>
    <w:rsid w:val="00005743"/>
    <w:rsid w:val="00013692"/>
    <w:rsid w:val="00016981"/>
    <w:rsid w:val="00017178"/>
    <w:rsid w:val="000177E5"/>
    <w:rsid w:val="00021CD2"/>
    <w:rsid w:val="00021F0A"/>
    <w:rsid w:val="0002304B"/>
    <w:rsid w:val="00024063"/>
    <w:rsid w:val="00024D22"/>
    <w:rsid w:val="00025B38"/>
    <w:rsid w:val="00026941"/>
    <w:rsid w:val="000269E1"/>
    <w:rsid w:val="0002726A"/>
    <w:rsid w:val="000275D8"/>
    <w:rsid w:val="00027DCB"/>
    <w:rsid w:val="000317E0"/>
    <w:rsid w:val="0003310E"/>
    <w:rsid w:val="00036525"/>
    <w:rsid w:val="000433A6"/>
    <w:rsid w:val="000440C5"/>
    <w:rsid w:val="00047BB6"/>
    <w:rsid w:val="000560AD"/>
    <w:rsid w:val="000561CA"/>
    <w:rsid w:val="00061CC7"/>
    <w:rsid w:val="00061F3E"/>
    <w:rsid w:val="000620E9"/>
    <w:rsid w:val="000639C2"/>
    <w:rsid w:val="00063D93"/>
    <w:rsid w:val="00063EDF"/>
    <w:rsid w:val="0007108B"/>
    <w:rsid w:val="00071B22"/>
    <w:rsid w:val="00074274"/>
    <w:rsid w:val="0007526A"/>
    <w:rsid w:val="00075DA9"/>
    <w:rsid w:val="00077FFB"/>
    <w:rsid w:val="00085B85"/>
    <w:rsid w:val="0008749D"/>
    <w:rsid w:val="0009049C"/>
    <w:rsid w:val="000907A8"/>
    <w:rsid w:val="00091C68"/>
    <w:rsid w:val="00093940"/>
    <w:rsid w:val="00093BC2"/>
    <w:rsid w:val="000946CC"/>
    <w:rsid w:val="00095508"/>
    <w:rsid w:val="00095CA4"/>
    <w:rsid w:val="000A6E38"/>
    <w:rsid w:val="000A7300"/>
    <w:rsid w:val="000B1439"/>
    <w:rsid w:val="000B1DAF"/>
    <w:rsid w:val="000C19AA"/>
    <w:rsid w:val="000C5821"/>
    <w:rsid w:val="000C692E"/>
    <w:rsid w:val="000C6BC1"/>
    <w:rsid w:val="000D588A"/>
    <w:rsid w:val="000D7FDB"/>
    <w:rsid w:val="000E05CD"/>
    <w:rsid w:val="000E19BA"/>
    <w:rsid w:val="000E49F1"/>
    <w:rsid w:val="000E5D8F"/>
    <w:rsid w:val="000E6B67"/>
    <w:rsid w:val="000E6D3B"/>
    <w:rsid w:val="000F0968"/>
    <w:rsid w:val="000F1428"/>
    <w:rsid w:val="000F2936"/>
    <w:rsid w:val="000F54C8"/>
    <w:rsid w:val="00100464"/>
    <w:rsid w:val="001017A6"/>
    <w:rsid w:val="001046D1"/>
    <w:rsid w:val="00106695"/>
    <w:rsid w:val="0010674D"/>
    <w:rsid w:val="00106956"/>
    <w:rsid w:val="00106D78"/>
    <w:rsid w:val="001071EC"/>
    <w:rsid w:val="00117888"/>
    <w:rsid w:val="00122F07"/>
    <w:rsid w:val="0012306A"/>
    <w:rsid w:val="00123287"/>
    <w:rsid w:val="001265D0"/>
    <w:rsid w:val="0012725E"/>
    <w:rsid w:val="0013125F"/>
    <w:rsid w:val="001343DE"/>
    <w:rsid w:val="001404DA"/>
    <w:rsid w:val="00143790"/>
    <w:rsid w:val="001442B5"/>
    <w:rsid w:val="00144BF6"/>
    <w:rsid w:val="00157F1C"/>
    <w:rsid w:val="001617F7"/>
    <w:rsid w:val="00164603"/>
    <w:rsid w:val="00165CDE"/>
    <w:rsid w:val="00175736"/>
    <w:rsid w:val="001778BF"/>
    <w:rsid w:val="001808C0"/>
    <w:rsid w:val="001854E5"/>
    <w:rsid w:val="00185982"/>
    <w:rsid w:val="00187815"/>
    <w:rsid w:val="00194F63"/>
    <w:rsid w:val="0019523F"/>
    <w:rsid w:val="00195346"/>
    <w:rsid w:val="001963E9"/>
    <w:rsid w:val="001A0764"/>
    <w:rsid w:val="001A213F"/>
    <w:rsid w:val="001A7E12"/>
    <w:rsid w:val="001B42A7"/>
    <w:rsid w:val="001B62F0"/>
    <w:rsid w:val="001C03C8"/>
    <w:rsid w:val="001C1619"/>
    <w:rsid w:val="001C3837"/>
    <w:rsid w:val="001D4C16"/>
    <w:rsid w:val="001D52CD"/>
    <w:rsid w:val="001D7D1F"/>
    <w:rsid w:val="001E1CBF"/>
    <w:rsid w:val="001E37F6"/>
    <w:rsid w:val="001E4EA5"/>
    <w:rsid w:val="001E66FE"/>
    <w:rsid w:val="001E735D"/>
    <w:rsid w:val="001F2890"/>
    <w:rsid w:val="001F3441"/>
    <w:rsid w:val="001F5708"/>
    <w:rsid w:val="001F5B7C"/>
    <w:rsid w:val="001F5F13"/>
    <w:rsid w:val="001F6410"/>
    <w:rsid w:val="001F6E36"/>
    <w:rsid w:val="001F716F"/>
    <w:rsid w:val="002010C8"/>
    <w:rsid w:val="0020396C"/>
    <w:rsid w:val="002055A9"/>
    <w:rsid w:val="0021145D"/>
    <w:rsid w:val="00215E15"/>
    <w:rsid w:val="00220062"/>
    <w:rsid w:val="00220E1F"/>
    <w:rsid w:val="00221293"/>
    <w:rsid w:val="0022279B"/>
    <w:rsid w:val="002228B9"/>
    <w:rsid w:val="002244E9"/>
    <w:rsid w:val="0023070A"/>
    <w:rsid w:val="00230DB9"/>
    <w:rsid w:val="00230E4E"/>
    <w:rsid w:val="00231791"/>
    <w:rsid w:val="00231C57"/>
    <w:rsid w:val="00234BFC"/>
    <w:rsid w:val="002400C1"/>
    <w:rsid w:val="00242DB4"/>
    <w:rsid w:val="00243F43"/>
    <w:rsid w:val="00244113"/>
    <w:rsid w:val="00244DA3"/>
    <w:rsid w:val="00244E02"/>
    <w:rsid w:val="002456F1"/>
    <w:rsid w:val="002463CD"/>
    <w:rsid w:val="002504BF"/>
    <w:rsid w:val="002519A2"/>
    <w:rsid w:val="00254125"/>
    <w:rsid w:val="002554B3"/>
    <w:rsid w:val="0025630A"/>
    <w:rsid w:val="002573EE"/>
    <w:rsid w:val="002609B6"/>
    <w:rsid w:val="002617C8"/>
    <w:rsid w:val="00262353"/>
    <w:rsid w:val="00263EA6"/>
    <w:rsid w:val="0026493D"/>
    <w:rsid w:val="0026742E"/>
    <w:rsid w:val="00270013"/>
    <w:rsid w:val="00270EF2"/>
    <w:rsid w:val="00273545"/>
    <w:rsid w:val="00274539"/>
    <w:rsid w:val="00277314"/>
    <w:rsid w:val="00284384"/>
    <w:rsid w:val="00284613"/>
    <w:rsid w:val="0028512A"/>
    <w:rsid w:val="0028667F"/>
    <w:rsid w:val="00286CB8"/>
    <w:rsid w:val="00287362"/>
    <w:rsid w:val="0029075A"/>
    <w:rsid w:val="00290A14"/>
    <w:rsid w:val="00290B45"/>
    <w:rsid w:val="002929FE"/>
    <w:rsid w:val="00297876"/>
    <w:rsid w:val="00297F84"/>
    <w:rsid w:val="002A292E"/>
    <w:rsid w:val="002A3AF2"/>
    <w:rsid w:val="002A3C58"/>
    <w:rsid w:val="002A56BA"/>
    <w:rsid w:val="002A6603"/>
    <w:rsid w:val="002C41FE"/>
    <w:rsid w:val="002C4443"/>
    <w:rsid w:val="002C52F0"/>
    <w:rsid w:val="002C654D"/>
    <w:rsid w:val="002D0D4E"/>
    <w:rsid w:val="002D1BBC"/>
    <w:rsid w:val="002D35E6"/>
    <w:rsid w:val="002D556D"/>
    <w:rsid w:val="002E0905"/>
    <w:rsid w:val="002E093F"/>
    <w:rsid w:val="002E1DC6"/>
    <w:rsid w:val="002E361B"/>
    <w:rsid w:val="002F194B"/>
    <w:rsid w:val="002F1F05"/>
    <w:rsid w:val="002F498F"/>
    <w:rsid w:val="002F67EA"/>
    <w:rsid w:val="002F7326"/>
    <w:rsid w:val="002F792D"/>
    <w:rsid w:val="003037AE"/>
    <w:rsid w:val="00310C42"/>
    <w:rsid w:val="003122F3"/>
    <w:rsid w:val="003161BD"/>
    <w:rsid w:val="00316AA6"/>
    <w:rsid w:val="00317367"/>
    <w:rsid w:val="0032321C"/>
    <w:rsid w:val="00325520"/>
    <w:rsid w:val="00331ACC"/>
    <w:rsid w:val="00333AF8"/>
    <w:rsid w:val="00334D95"/>
    <w:rsid w:val="00335E08"/>
    <w:rsid w:val="003364DE"/>
    <w:rsid w:val="00337771"/>
    <w:rsid w:val="0033791E"/>
    <w:rsid w:val="00341F6E"/>
    <w:rsid w:val="003518BB"/>
    <w:rsid w:val="00352534"/>
    <w:rsid w:val="003525E1"/>
    <w:rsid w:val="003535BC"/>
    <w:rsid w:val="00354E32"/>
    <w:rsid w:val="00355D29"/>
    <w:rsid w:val="00356A00"/>
    <w:rsid w:val="00356A1C"/>
    <w:rsid w:val="00356A9D"/>
    <w:rsid w:val="00361541"/>
    <w:rsid w:val="00366D14"/>
    <w:rsid w:val="00367269"/>
    <w:rsid w:val="003720B1"/>
    <w:rsid w:val="00372CF8"/>
    <w:rsid w:val="00376439"/>
    <w:rsid w:val="00376CF2"/>
    <w:rsid w:val="00381126"/>
    <w:rsid w:val="003811A2"/>
    <w:rsid w:val="00384B61"/>
    <w:rsid w:val="0038511A"/>
    <w:rsid w:val="0038621B"/>
    <w:rsid w:val="003867D9"/>
    <w:rsid w:val="00387FC3"/>
    <w:rsid w:val="003916CF"/>
    <w:rsid w:val="0039182A"/>
    <w:rsid w:val="00393A39"/>
    <w:rsid w:val="0039432A"/>
    <w:rsid w:val="0039584C"/>
    <w:rsid w:val="00397141"/>
    <w:rsid w:val="003A235D"/>
    <w:rsid w:val="003A2A61"/>
    <w:rsid w:val="003A45D0"/>
    <w:rsid w:val="003A5133"/>
    <w:rsid w:val="003A543D"/>
    <w:rsid w:val="003A5AA6"/>
    <w:rsid w:val="003A7575"/>
    <w:rsid w:val="003A7D94"/>
    <w:rsid w:val="003B6203"/>
    <w:rsid w:val="003C2663"/>
    <w:rsid w:val="003C3785"/>
    <w:rsid w:val="003D0DF0"/>
    <w:rsid w:val="003D17B3"/>
    <w:rsid w:val="003D1D4F"/>
    <w:rsid w:val="003D361B"/>
    <w:rsid w:val="003D494B"/>
    <w:rsid w:val="003D5932"/>
    <w:rsid w:val="003D7D50"/>
    <w:rsid w:val="003E091F"/>
    <w:rsid w:val="003E0CBF"/>
    <w:rsid w:val="003E1604"/>
    <w:rsid w:val="003E17A7"/>
    <w:rsid w:val="003E277D"/>
    <w:rsid w:val="003E2F73"/>
    <w:rsid w:val="003E38EB"/>
    <w:rsid w:val="003E48FE"/>
    <w:rsid w:val="003E5801"/>
    <w:rsid w:val="003E5D02"/>
    <w:rsid w:val="003E7297"/>
    <w:rsid w:val="003E7410"/>
    <w:rsid w:val="003F0A35"/>
    <w:rsid w:val="003F217E"/>
    <w:rsid w:val="003F3DEE"/>
    <w:rsid w:val="003F53F8"/>
    <w:rsid w:val="00400197"/>
    <w:rsid w:val="00406208"/>
    <w:rsid w:val="004067EC"/>
    <w:rsid w:val="00407C30"/>
    <w:rsid w:val="0041249D"/>
    <w:rsid w:val="00412770"/>
    <w:rsid w:val="00414C5D"/>
    <w:rsid w:val="00416A3F"/>
    <w:rsid w:val="0042421A"/>
    <w:rsid w:val="004263B2"/>
    <w:rsid w:val="00426FBD"/>
    <w:rsid w:val="004367A1"/>
    <w:rsid w:val="00437872"/>
    <w:rsid w:val="00441B82"/>
    <w:rsid w:val="00443172"/>
    <w:rsid w:val="004449E1"/>
    <w:rsid w:val="0044639F"/>
    <w:rsid w:val="00450FA6"/>
    <w:rsid w:val="00453DB0"/>
    <w:rsid w:val="00454266"/>
    <w:rsid w:val="0045658B"/>
    <w:rsid w:val="004644C1"/>
    <w:rsid w:val="004648DB"/>
    <w:rsid w:val="00465DED"/>
    <w:rsid w:val="00470752"/>
    <w:rsid w:val="00471A97"/>
    <w:rsid w:val="004736A0"/>
    <w:rsid w:val="00474107"/>
    <w:rsid w:val="00475C6F"/>
    <w:rsid w:val="00477630"/>
    <w:rsid w:val="00482A39"/>
    <w:rsid w:val="004839A0"/>
    <w:rsid w:val="00491787"/>
    <w:rsid w:val="00493432"/>
    <w:rsid w:val="004955E7"/>
    <w:rsid w:val="00495F0A"/>
    <w:rsid w:val="00497A10"/>
    <w:rsid w:val="004A041D"/>
    <w:rsid w:val="004A085C"/>
    <w:rsid w:val="004A431C"/>
    <w:rsid w:val="004A560E"/>
    <w:rsid w:val="004A6549"/>
    <w:rsid w:val="004A66A0"/>
    <w:rsid w:val="004A714C"/>
    <w:rsid w:val="004B067D"/>
    <w:rsid w:val="004B64B1"/>
    <w:rsid w:val="004B76B1"/>
    <w:rsid w:val="004C077C"/>
    <w:rsid w:val="004C10C0"/>
    <w:rsid w:val="004C164D"/>
    <w:rsid w:val="004C47A1"/>
    <w:rsid w:val="004C5100"/>
    <w:rsid w:val="004C72E7"/>
    <w:rsid w:val="004D1974"/>
    <w:rsid w:val="004D4C4B"/>
    <w:rsid w:val="004D547D"/>
    <w:rsid w:val="004D738C"/>
    <w:rsid w:val="004E00A4"/>
    <w:rsid w:val="004E1063"/>
    <w:rsid w:val="004E137F"/>
    <w:rsid w:val="004E27E9"/>
    <w:rsid w:val="004E2A86"/>
    <w:rsid w:val="004E5DCA"/>
    <w:rsid w:val="004E5F04"/>
    <w:rsid w:val="004F2D33"/>
    <w:rsid w:val="004F43B6"/>
    <w:rsid w:val="004F46C0"/>
    <w:rsid w:val="004F6489"/>
    <w:rsid w:val="00503EC8"/>
    <w:rsid w:val="005042A2"/>
    <w:rsid w:val="00504C67"/>
    <w:rsid w:val="0051233E"/>
    <w:rsid w:val="005142E5"/>
    <w:rsid w:val="00516C60"/>
    <w:rsid w:val="00517A6D"/>
    <w:rsid w:val="00522078"/>
    <w:rsid w:val="005251C9"/>
    <w:rsid w:val="00531BFF"/>
    <w:rsid w:val="00534C04"/>
    <w:rsid w:val="00541F11"/>
    <w:rsid w:val="0054349E"/>
    <w:rsid w:val="00543B98"/>
    <w:rsid w:val="00546B61"/>
    <w:rsid w:val="00546E14"/>
    <w:rsid w:val="00550037"/>
    <w:rsid w:val="00552671"/>
    <w:rsid w:val="00552BBF"/>
    <w:rsid w:val="00552C27"/>
    <w:rsid w:val="00554454"/>
    <w:rsid w:val="005601C1"/>
    <w:rsid w:val="005645C4"/>
    <w:rsid w:val="0056541D"/>
    <w:rsid w:val="00572468"/>
    <w:rsid w:val="00573776"/>
    <w:rsid w:val="0057604D"/>
    <w:rsid w:val="00581004"/>
    <w:rsid w:val="0058326C"/>
    <w:rsid w:val="0058371C"/>
    <w:rsid w:val="00583F4C"/>
    <w:rsid w:val="00584CC3"/>
    <w:rsid w:val="005878FE"/>
    <w:rsid w:val="00591BFC"/>
    <w:rsid w:val="00593757"/>
    <w:rsid w:val="00593C87"/>
    <w:rsid w:val="00594978"/>
    <w:rsid w:val="00596570"/>
    <w:rsid w:val="00596FC8"/>
    <w:rsid w:val="00597CE2"/>
    <w:rsid w:val="005A04F1"/>
    <w:rsid w:val="005A137B"/>
    <w:rsid w:val="005A3986"/>
    <w:rsid w:val="005A419A"/>
    <w:rsid w:val="005A5F45"/>
    <w:rsid w:val="005A7940"/>
    <w:rsid w:val="005B03E6"/>
    <w:rsid w:val="005B25EF"/>
    <w:rsid w:val="005B3894"/>
    <w:rsid w:val="005C1177"/>
    <w:rsid w:val="005C347A"/>
    <w:rsid w:val="005C5B71"/>
    <w:rsid w:val="005C7EAF"/>
    <w:rsid w:val="005D0801"/>
    <w:rsid w:val="005D13C0"/>
    <w:rsid w:val="005D17AB"/>
    <w:rsid w:val="005D341D"/>
    <w:rsid w:val="005D3F77"/>
    <w:rsid w:val="005D58AD"/>
    <w:rsid w:val="005D6808"/>
    <w:rsid w:val="005E1DBA"/>
    <w:rsid w:val="005E24A0"/>
    <w:rsid w:val="005E2CCC"/>
    <w:rsid w:val="005E385F"/>
    <w:rsid w:val="005E51B1"/>
    <w:rsid w:val="005E55BA"/>
    <w:rsid w:val="005F0377"/>
    <w:rsid w:val="005F1565"/>
    <w:rsid w:val="005F1AF3"/>
    <w:rsid w:val="005F1C9D"/>
    <w:rsid w:val="005F1E19"/>
    <w:rsid w:val="005F3F7C"/>
    <w:rsid w:val="005F4CBA"/>
    <w:rsid w:val="005F6850"/>
    <w:rsid w:val="0060219C"/>
    <w:rsid w:val="00605B4B"/>
    <w:rsid w:val="00605DD8"/>
    <w:rsid w:val="0060706E"/>
    <w:rsid w:val="00607309"/>
    <w:rsid w:val="00607EB9"/>
    <w:rsid w:val="00611D71"/>
    <w:rsid w:val="00617C10"/>
    <w:rsid w:val="00622BC2"/>
    <w:rsid w:val="00623FA0"/>
    <w:rsid w:val="00624915"/>
    <w:rsid w:val="00631352"/>
    <w:rsid w:val="00631C5E"/>
    <w:rsid w:val="00634178"/>
    <w:rsid w:val="00640418"/>
    <w:rsid w:val="00642615"/>
    <w:rsid w:val="0064358A"/>
    <w:rsid w:val="0064555F"/>
    <w:rsid w:val="00646489"/>
    <w:rsid w:val="00646918"/>
    <w:rsid w:val="0064735D"/>
    <w:rsid w:val="006502FC"/>
    <w:rsid w:val="00650EF7"/>
    <w:rsid w:val="006512C3"/>
    <w:rsid w:val="00652026"/>
    <w:rsid w:val="00652F87"/>
    <w:rsid w:val="00654523"/>
    <w:rsid w:val="0065718F"/>
    <w:rsid w:val="00664B25"/>
    <w:rsid w:val="00664CB9"/>
    <w:rsid w:val="00665A11"/>
    <w:rsid w:val="00671F3E"/>
    <w:rsid w:val="00674EA9"/>
    <w:rsid w:val="006774E9"/>
    <w:rsid w:val="00682887"/>
    <w:rsid w:val="00690795"/>
    <w:rsid w:val="00691E5E"/>
    <w:rsid w:val="0069234B"/>
    <w:rsid w:val="0069565E"/>
    <w:rsid w:val="006964EC"/>
    <w:rsid w:val="006A7520"/>
    <w:rsid w:val="006A7E44"/>
    <w:rsid w:val="006B1087"/>
    <w:rsid w:val="006B2A0B"/>
    <w:rsid w:val="006B39F5"/>
    <w:rsid w:val="006B45E9"/>
    <w:rsid w:val="006B5010"/>
    <w:rsid w:val="006C15B3"/>
    <w:rsid w:val="006C1A19"/>
    <w:rsid w:val="006C6280"/>
    <w:rsid w:val="006D1C4F"/>
    <w:rsid w:val="006D4C5F"/>
    <w:rsid w:val="006E00BC"/>
    <w:rsid w:val="006E0383"/>
    <w:rsid w:val="006E28EC"/>
    <w:rsid w:val="006E396D"/>
    <w:rsid w:val="006E454F"/>
    <w:rsid w:val="006E6AAD"/>
    <w:rsid w:val="006E6C19"/>
    <w:rsid w:val="006F2060"/>
    <w:rsid w:val="006F6EC2"/>
    <w:rsid w:val="007031DF"/>
    <w:rsid w:val="00705558"/>
    <w:rsid w:val="0071019F"/>
    <w:rsid w:val="00712174"/>
    <w:rsid w:val="007137A0"/>
    <w:rsid w:val="00715BE6"/>
    <w:rsid w:val="007164F6"/>
    <w:rsid w:val="00716881"/>
    <w:rsid w:val="007204E5"/>
    <w:rsid w:val="00720D2C"/>
    <w:rsid w:val="007234E3"/>
    <w:rsid w:val="007305ED"/>
    <w:rsid w:val="00732BEE"/>
    <w:rsid w:val="007362CF"/>
    <w:rsid w:val="00736303"/>
    <w:rsid w:val="00737181"/>
    <w:rsid w:val="00737440"/>
    <w:rsid w:val="007422FB"/>
    <w:rsid w:val="0074262F"/>
    <w:rsid w:val="007435F7"/>
    <w:rsid w:val="0074440D"/>
    <w:rsid w:val="00746976"/>
    <w:rsid w:val="007475D5"/>
    <w:rsid w:val="007549C8"/>
    <w:rsid w:val="00756B8A"/>
    <w:rsid w:val="0076063B"/>
    <w:rsid w:val="0076278D"/>
    <w:rsid w:val="0076329E"/>
    <w:rsid w:val="007679DE"/>
    <w:rsid w:val="007716AF"/>
    <w:rsid w:val="00772BDD"/>
    <w:rsid w:val="00775F22"/>
    <w:rsid w:val="007773F9"/>
    <w:rsid w:val="007916D7"/>
    <w:rsid w:val="00792075"/>
    <w:rsid w:val="007926FA"/>
    <w:rsid w:val="00792E84"/>
    <w:rsid w:val="00796FD3"/>
    <w:rsid w:val="007A0592"/>
    <w:rsid w:val="007A0C2C"/>
    <w:rsid w:val="007A2751"/>
    <w:rsid w:val="007A442F"/>
    <w:rsid w:val="007A5075"/>
    <w:rsid w:val="007A7382"/>
    <w:rsid w:val="007A7B33"/>
    <w:rsid w:val="007B183F"/>
    <w:rsid w:val="007B1961"/>
    <w:rsid w:val="007B1B0F"/>
    <w:rsid w:val="007B51BD"/>
    <w:rsid w:val="007B70EF"/>
    <w:rsid w:val="007B78B4"/>
    <w:rsid w:val="007C0AAF"/>
    <w:rsid w:val="007C2398"/>
    <w:rsid w:val="007C313A"/>
    <w:rsid w:val="007C33B6"/>
    <w:rsid w:val="007C35AB"/>
    <w:rsid w:val="007C4C59"/>
    <w:rsid w:val="007D2CB9"/>
    <w:rsid w:val="007D579F"/>
    <w:rsid w:val="007E0492"/>
    <w:rsid w:val="007E1473"/>
    <w:rsid w:val="007E3E68"/>
    <w:rsid w:val="007E3F95"/>
    <w:rsid w:val="007E45DB"/>
    <w:rsid w:val="007E56B0"/>
    <w:rsid w:val="007E68B7"/>
    <w:rsid w:val="007E7F19"/>
    <w:rsid w:val="007F1695"/>
    <w:rsid w:val="007F6E66"/>
    <w:rsid w:val="007F7A72"/>
    <w:rsid w:val="00800FDE"/>
    <w:rsid w:val="00806514"/>
    <w:rsid w:val="00806E16"/>
    <w:rsid w:val="00827218"/>
    <w:rsid w:val="00831D1C"/>
    <w:rsid w:val="00834A0E"/>
    <w:rsid w:val="008375D4"/>
    <w:rsid w:val="00840ED6"/>
    <w:rsid w:val="00843522"/>
    <w:rsid w:val="00843739"/>
    <w:rsid w:val="008524A1"/>
    <w:rsid w:val="00852FC7"/>
    <w:rsid w:val="00855D2E"/>
    <w:rsid w:val="00856A71"/>
    <w:rsid w:val="0086027D"/>
    <w:rsid w:val="0086047C"/>
    <w:rsid w:val="008617B9"/>
    <w:rsid w:val="00862570"/>
    <w:rsid w:val="00862C2B"/>
    <w:rsid w:val="00863F41"/>
    <w:rsid w:val="00864555"/>
    <w:rsid w:val="00871D67"/>
    <w:rsid w:val="00872588"/>
    <w:rsid w:val="00874CFD"/>
    <w:rsid w:val="00875003"/>
    <w:rsid w:val="00876F7E"/>
    <w:rsid w:val="0088091C"/>
    <w:rsid w:val="00880AE0"/>
    <w:rsid w:val="00881EF2"/>
    <w:rsid w:val="0088516B"/>
    <w:rsid w:val="00887882"/>
    <w:rsid w:val="008922B7"/>
    <w:rsid w:val="00892579"/>
    <w:rsid w:val="0089333B"/>
    <w:rsid w:val="00894FA1"/>
    <w:rsid w:val="00895E80"/>
    <w:rsid w:val="00897350"/>
    <w:rsid w:val="00897D67"/>
    <w:rsid w:val="008A274E"/>
    <w:rsid w:val="008A7D37"/>
    <w:rsid w:val="008B099D"/>
    <w:rsid w:val="008B0D96"/>
    <w:rsid w:val="008B1B77"/>
    <w:rsid w:val="008B4FCD"/>
    <w:rsid w:val="008B74F2"/>
    <w:rsid w:val="008B766E"/>
    <w:rsid w:val="008C10F6"/>
    <w:rsid w:val="008C6CED"/>
    <w:rsid w:val="008C7306"/>
    <w:rsid w:val="008C7F03"/>
    <w:rsid w:val="008E3463"/>
    <w:rsid w:val="008E46C0"/>
    <w:rsid w:val="008E4D28"/>
    <w:rsid w:val="008E67DD"/>
    <w:rsid w:val="008F2172"/>
    <w:rsid w:val="008F6C4E"/>
    <w:rsid w:val="008F76AE"/>
    <w:rsid w:val="00900322"/>
    <w:rsid w:val="00900653"/>
    <w:rsid w:val="009026A0"/>
    <w:rsid w:val="00905F0F"/>
    <w:rsid w:val="0091058B"/>
    <w:rsid w:val="0091176A"/>
    <w:rsid w:val="009156F2"/>
    <w:rsid w:val="00915EC3"/>
    <w:rsid w:val="00916F3D"/>
    <w:rsid w:val="00917325"/>
    <w:rsid w:val="009175BB"/>
    <w:rsid w:val="00920E03"/>
    <w:rsid w:val="00921A88"/>
    <w:rsid w:val="00922937"/>
    <w:rsid w:val="00925FE9"/>
    <w:rsid w:val="00926CCC"/>
    <w:rsid w:val="00930339"/>
    <w:rsid w:val="0093162A"/>
    <w:rsid w:val="009343C0"/>
    <w:rsid w:val="00935CB5"/>
    <w:rsid w:val="009367B9"/>
    <w:rsid w:val="00940F7F"/>
    <w:rsid w:val="00945704"/>
    <w:rsid w:val="00950F3D"/>
    <w:rsid w:val="00954A8D"/>
    <w:rsid w:val="009554D2"/>
    <w:rsid w:val="009570A4"/>
    <w:rsid w:val="009571C8"/>
    <w:rsid w:val="0096202C"/>
    <w:rsid w:val="00962B8A"/>
    <w:rsid w:val="00964B58"/>
    <w:rsid w:val="0097041A"/>
    <w:rsid w:val="009708F0"/>
    <w:rsid w:val="00970A4E"/>
    <w:rsid w:val="009829B7"/>
    <w:rsid w:val="0098489D"/>
    <w:rsid w:val="00987650"/>
    <w:rsid w:val="00990396"/>
    <w:rsid w:val="00993DAB"/>
    <w:rsid w:val="00994970"/>
    <w:rsid w:val="00994CC7"/>
    <w:rsid w:val="00995588"/>
    <w:rsid w:val="00995971"/>
    <w:rsid w:val="00995B70"/>
    <w:rsid w:val="00997A7C"/>
    <w:rsid w:val="009A087F"/>
    <w:rsid w:val="009A3C1C"/>
    <w:rsid w:val="009A471B"/>
    <w:rsid w:val="009A61B7"/>
    <w:rsid w:val="009B0B29"/>
    <w:rsid w:val="009B0C6B"/>
    <w:rsid w:val="009B1235"/>
    <w:rsid w:val="009B17C7"/>
    <w:rsid w:val="009B4A35"/>
    <w:rsid w:val="009B5968"/>
    <w:rsid w:val="009B7E84"/>
    <w:rsid w:val="009C0AEB"/>
    <w:rsid w:val="009C1D5D"/>
    <w:rsid w:val="009C295C"/>
    <w:rsid w:val="009C5927"/>
    <w:rsid w:val="009C7497"/>
    <w:rsid w:val="009D220D"/>
    <w:rsid w:val="009D7417"/>
    <w:rsid w:val="009E5023"/>
    <w:rsid w:val="009E52ED"/>
    <w:rsid w:val="009F270A"/>
    <w:rsid w:val="009F4E88"/>
    <w:rsid w:val="009F5FB9"/>
    <w:rsid w:val="009F677A"/>
    <w:rsid w:val="00A00F70"/>
    <w:rsid w:val="00A010EF"/>
    <w:rsid w:val="00A01CFA"/>
    <w:rsid w:val="00A0568B"/>
    <w:rsid w:val="00A0703C"/>
    <w:rsid w:val="00A07242"/>
    <w:rsid w:val="00A1059B"/>
    <w:rsid w:val="00A10920"/>
    <w:rsid w:val="00A128D8"/>
    <w:rsid w:val="00A21884"/>
    <w:rsid w:val="00A21A13"/>
    <w:rsid w:val="00A25054"/>
    <w:rsid w:val="00A2506C"/>
    <w:rsid w:val="00A254D5"/>
    <w:rsid w:val="00A27445"/>
    <w:rsid w:val="00A329BB"/>
    <w:rsid w:val="00A346C1"/>
    <w:rsid w:val="00A369D2"/>
    <w:rsid w:val="00A37B45"/>
    <w:rsid w:val="00A45BCE"/>
    <w:rsid w:val="00A46CF6"/>
    <w:rsid w:val="00A5008D"/>
    <w:rsid w:val="00A51D64"/>
    <w:rsid w:val="00A51E17"/>
    <w:rsid w:val="00A528D4"/>
    <w:rsid w:val="00A56684"/>
    <w:rsid w:val="00A5695A"/>
    <w:rsid w:val="00A56A82"/>
    <w:rsid w:val="00A603DD"/>
    <w:rsid w:val="00A67842"/>
    <w:rsid w:val="00A70265"/>
    <w:rsid w:val="00A72C04"/>
    <w:rsid w:val="00A757F9"/>
    <w:rsid w:val="00A7696B"/>
    <w:rsid w:val="00A810BD"/>
    <w:rsid w:val="00A82CD0"/>
    <w:rsid w:val="00A84015"/>
    <w:rsid w:val="00A84718"/>
    <w:rsid w:val="00A85B19"/>
    <w:rsid w:val="00A914FB"/>
    <w:rsid w:val="00A94B31"/>
    <w:rsid w:val="00A9646C"/>
    <w:rsid w:val="00A96518"/>
    <w:rsid w:val="00AA0111"/>
    <w:rsid w:val="00AA09D1"/>
    <w:rsid w:val="00AA31D0"/>
    <w:rsid w:val="00AA34C2"/>
    <w:rsid w:val="00AA360A"/>
    <w:rsid w:val="00AA36E8"/>
    <w:rsid w:val="00AA5623"/>
    <w:rsid w:val="00AA71BA"/>
    <w:rsid w:val="00AA7B41"/>
    <w:rsid w:val="00AB2F7E"/>
    <w:rsid w:val="00AB79A4"/>
    <w:rsid w:val="00AC2AB7"/>
    <w:rsid w:val="00AC4B1A"/>
    <w:rsid w:val="00AD0551"/>
    <w:rsid w:val="00AD1205"/>
    <w:rsid w:val="00AD3884"/>
    <w:rsid w:val="00AD3F86"/>
    <w:rsid w:val="00AD65E8"/>
    <w:rsid w:val="00AE78CF"/>
    <w:rsid w:val="00AF08CB"/>
    <w:rsid w:val="00AF3BA7"/>
    <w:rsid w:val="00AF5637"/>
    <w:rsid w:val="00B00106"/>
    <w:rsid w:val="00B013D8"/>
    <w:rsid w:val="00B04126"/>
    <w:rsid w:val="00B04DB7"/>
    <w:rsid w:val="00B15EDB"/>
    <w:rsid w:val="00B160BA"/>
    <w:rsid w:val="00B175CA"/>
    <w:rsid w:val="00B17D34"/>
    <w:rsid w:val="00B2038F"/>
    <w:rsid w:val="00B215E7"/>
    <w:rsid w:val="00B23D4C"/>
    <w:rsid w:val="00B23FD8"/>
    <w:rsid w:val="00B24683"/>
    <w:rsid w:val="00B2515D"/>
    <w:rsid w:val="00B257D0"/>
    <w:rsid w:val="00B27160"/>
    <w:rsid w:val="00B3057D"/>
    <w:rsid w:val="00B32A98"/>
    <w:rsid w:val="00B35830"/>
    <w:rsid w:val="00B3601D"/>
    <w:rsid w:val="00B3627E"/>
    <w:rsid w:val="00B42956"/>
    <w:rsid w:val="00B51EAA"/>
    <w:rsid w:val="00B52285"/>
    <w:rsid w:val="00B52340"/>
    <w:rsid w:val="00B53D5B"/>
    <w:rsid w:val="00B55AEC"/>
    <w:rsid w:val="00B6126A"/>
    <w:rsid w:val="00B616B2"/>
    <w:rsid w:val="00B628A3"/>
    <w:rsid w:val="00B64A2A"/>
    <w:rsid w:val="00B7137D"/>
    <w:rsid w:val="00B71932"/>
    <w:rsid w:val="00B7312D"/>
    <w:rsid w:val="00B7332E"/>
    <w:rsid w:val="00B7475E"/>
    <w:rsid w:val="00B74807"/>
    <w:rsid w:val="00B77053"/>
    <w:rsid w:val="00B80A2C"/>
    <w:rsid w:val="00B837AA"/>
    <w:rsid w:val="00B90B0C"/>
    <w:rsid w:val="00BA0AEF"/>
    <w:rsid w:val="00BA389E"/>
    <w:rsid w:val="00BA3CFF"/>
    <w:rsid w:val="00BA7FFE"/>
    <w:rsid w:val="00BB00BB"/>
    <w:rsid w:val="00BB1431"/>
    <w:rsid w:val="00BB147F"/>
    <w:rsid w:val="00BB1578"/>
    <w:rsid w:val="00BB2807"/>
    <w:rsid w:val="00BB7DEE"/>
    <w:rsid w:val="00BC2013"/>
    <w:rsid w:val="00BC28CE"/>
    <w:rsid w:val="00BC4450"/>
    <w:rsid w:val="00BC47D9"/>
    <w:rsid w:val="00BC6033"/>
    <w:rsid w:val="00BC63FB"/>
    <w:rsid w:val="00BC787A"/>
    <w:rsid w:val="00BD0539"/>
    <w:rsid w:val="00BD18E6"/>
    <w:rsid w:val="00BD1E00"/>
    <w:rsid w:val="00BD2890"/>
    <w:rsid w:val="00BD49B5"/>
    <w:rsid w:val="00BD4A8E"/>
    <w:rsid w:val="00BD57E1"/>
    <w:rsid w:val="00BE1300"/>
    <w:rsid w:val="00BE199E"/>
    <w:rsid w:val="00BE1D59"/>
    <w:rsid w:val="00BE31BB"/>
    <w:rsid w:val="00BE35F8"/>
    <w:rsid w:val="00BE5C6C"/>
    <w:rsid w:val="00BF13C9"/>
    <w:rsid w:val="00BF26B0"/>
    <w:rsid w:val="00BF2B80"/>
    <w:rsid w:val="00BF3AB4"/>
    <w:rsid w:val="00BF4972"/>
    <w:rsid w:val="00BF4EF3"/>
    <w:rsid w:val="00BF7F8C"/>
    <w:rsid w:val="00C02D61"/>
    <w:rsid w:val="00C0381F"/>
    <w:rsid w:val="00C05AC4"/>
    <w:rsid w:val="00C06CCF"/>
    <w:rsid w:val="00C07546"/>
    <w:rsid w:val="00C10D5E"/>
    <w:rsid w:val="00C115F6"/>
    <w:rsid w:val="00C14538"/>
    <w:rsid w:val="00C1723D"/>
    <w:rsid w:val="00C2242F"/>
    <w:rsid w:val="00C24052"/>
    <w:rsid w:val="00C24113"/>
    <w:rsid w:val="00C2476E"/>
    <w:rsid w:val="00C24B80"/>
    <w:rsid w:val="00C26CF1"/>
    <w:rsid w:val="00C27C47"/>
    <w:rsid w:val="00C30058"/>
    <w:rsid w:val="00C3124F"/>
    <w:rsid w:val="00C3348A"/>
    <w:rsid w:val="00C34362"/>
    <w:rsid w:val="00C41208"/>
    <w:rsid w:val="00C4650E"/>
    <w:rsid w:val="00C50BF4"/>
    <w:rsid w:val="00C55116"/>
    <w:rsid w:val="00C61B47"/>
    <w:rsid w:val="00C663CD"/>
    <w:rsid w:val="00C71FD3"/>
    <w:rsid w:val="00C7346A"/>
    <w:rsid w:val="00C75FA5"/>
    <w:rsid w:val="00C771B4"/>
    <w:rsid w:val="00C84461"/>
    <w:rsid w:val="00C8661E"/>
    <w:rsid w:val="00C86ECA"/>
    <w:rsid w:val="00C9076F"/>
    <w:rsid w:val="00C91F0B"/>
    <w:rsid w:val="00C92299"/>
    <w:rsid w:val="00C92D83"/>
    <w:rsid w:val="00C93FDD"/>
    <w:rsid w:val="00C9769E"/>
    <w:rsid w:val="00CA09B3"/>
    <w:rsid w:val="00CA2562"/>
    <w:rsid w:val="00CA42F8"/>
    <w:rsid w:val="00CA5514"/>
    <w:rsid w:val="00CA76C9"/>
    <w:rsid w:val="00CB0116"/>
    <w:rsid w:val="00CB18BF"/>
    <w:rsid w:val="00CB397F"/>
    <w:rsid w:val="00CB4F82"/>
    <w:rsid w:val="00CB567E"/>
    <w:rsid w:val="00CB6529"/>
    <w:rsid w:val="00CD27DF"/>
    <w:rsid w:val="00CD2EC5"/>
    <w:rsid w:val="00CD4284"/>
    <w:rsid w:val="00CD66E2"/>
    <w:rsid w:val="00CD67C7"/>
    <w:rsid w:val="00CD67E1"/>
    <w:rsid w:val="00CD754A"/>
    <w:rsid w:val="00CE14C5"/>
    <w:rsid w:val="00CE3271"/>
    <w:rsid w:val="00CE5D1A"/>
    <w:rsid w:val="00CE640A"/>
    <w:rsid w:val="00CF2EBD"/>
    <w:rsid w:val="00CF30C4"/>
    <w:rsid w:val="00CF4DAC"/>
    <w:rsid w:val="00CF7738"/>
    <w:rsid w:val="00D02BF1"/>
    <w:rsid w:val="00D05B13"/>
    <w:rsid w:val="00D13A9A"/>
    <w:rsid w:val="00D15FC2"/>
    <w:rsid w:val="00D16543"/>
    <w:rsid w:val="00D2093B"/>
    <w:rsid w:val="00D20C14"/>
    <w:rsid w:val="00D30774"/>
    <w:rsid w:val="00D32A17"/>
    <w:rsid w:val="00D37104"/>
    <w:rsid w:val="00D37241"/>
    <w:rsid w:val="00D40F42"/>
    <w:rsid w:val="00D41652"/>
    <w:rsid w:val="00D43751"/>
    <w:rsid w:val="00D46913"/>
    <w:rsid w:val="00D46D08"/>
    <w:rsid w:val="00D50381"/>
    <w:rsid w:val="00D52989"/>
    <w:rsid w:val="00D53C9B"/>
    <w:rsid w:val="00D53E94"/>
    <w:rsid w:val="00D623E4"/>
    <w:rsid w:val="00D633DD"/>
    <w:rsid w:val="00D636E1"/>
    <w:rsid w:val="00D641B3"/>
    <w:rsid w:val="00D64879"/>
    <w:rsid w:val="00D66655"/>
    <w:rsid w:val="00D709DA"/>
    <w:rsid w:val="00D71996"/>
    <w:rsid w:val="00D73844"/>
    <w:rsid w:val="00D74322"/>
    <w:rsid w:val="00D74DD6"/>
    <w:rsid w:val="00D758E1"/>
    <w:rsid w:val="00D7690C"/>
    <w:rsid w:val="00D76E31"/>
    <w:rsid w:val="00D82904"/>
    <w:rsid w:val="00D94945"/>
    <w:rsid w:val="00DA1D6C"/>
    <w:rsid w:val="00DA49D9"/>
    <w:rsid w:val="00DA7F3C"/>
    <w:rsid w:val="00DB6CBC"/>
    <w:rsid w:val="00DC0989"/>
    <w:rsid w:val="00DC7C25"/>
    <w:rsid w:val="00DD22B8"/>
    <w:rsid w:val="00DD6A45"/>
    <w:rsid w:val="00DD7F58"/>
    <w:rsid w:val="00DE1DCE"/>
    <w:rsid w:val="00DE1F9B"/>
    <w:rsid w:val="00DE2C66"/>
    <w:rsid w:val="00DE56D4"/>
    <w:rsid w:val="00DE63B8"/>
    <w:rsid w:val="00DE66C2"/>
    <w:rsid w:val="00DE6703"/>
    <w:rsid w:val="00DF1838"/>
    <w:rsid w:val="00DF6DA5"/>
    <w:rsid w:val="00DF73E3"/>
    <w:rsid w:val="00E0078D"/>
    <w:rsid w:val="00E00C9C"/>
    <w:rsid w:val="00E015FE"/>
    <w:rsid w:val="00E01E2A"/>
    <w:rsid w:val="00E0232D"/>
    <w:rsid w:val="00E02A6A"/>
    <w:rsid w:val="00E05DDE"/>
    <w:rsid w:val="00E15733"/>
    <w:rsid w:val="00E225AC"/>
    <w:rsid w:val="00E22688"/>
    <w:rsid w:val="00E246EF"/>
    <w:rsid w:val="00E258EB"/>
    <w:rsid w:val="00E2783F"/>
    <w:rsid w:val="00E3147B"/>
    <w:rsid w:val="00E342F0"/>
    <w:rsid w:val="00E37308"/>
    <w:rsid w:val="00E374B5"/>
    <w:rsid w:val="00E44D4A"/>
    <w:rsid w:val="00E458A2"/>
    <w:rsid w:val="00E46BAA"/>
    <w:rsid w:val="00E51D26"/>
    <w:rsid w:val="00E54C71"/>
    <w:rsid w:val="00E56C95"/>
    <w:rsid w:val="00E6201D"/>
    <w:rsid w:val="00E65D97"/>
    <w:rsid w:val="00E71ED7"/>
    <w:rsid w:val="00E74136"/>
    <w:rsid w:val="00E75F82"/>
    <w:rsid w:val="00E77775"/>
    <w:rsid w:val="00E824C7"/>
    <w:rsid w:val="00E83560"/>
    <w:rsid w:val="00E87054"/>
    <w:rsid w:val="00E87F2E"/>
    <w:rsid w:val="00E92308"/>
    <w:rsid w:val="00E93354"/>
    <w:rsid w:val="00E958FD"/>
    <w:rsid w:val="00EA1330"/>
    <w:rsid w:val="00EA1F67"/>
    <w:rsid w:val="00EA6DEC"/>
    <w:rsid w:val="00EA7CF7"/>
    <w:rsid w:val="00EA7DBF"/>
    <w:rsid w:val="00EB142D"/>
    <w:rsid w:val="00EB19DF"/>
    <w:rsid w:val="00EB1BB4"/>
    <w:rsid w:val="00EB36D2"/>
    <w:rsid w:val="00EB4BA1"/>
    <w:rsid w:val="00EB4E33"/>
    <w:rsid w:val="00EB70B9"/>
    <w:rsid w:val="00EC22BD"/>
    <w:rsid w:val="00EC3A42"/>
    <w:rsid w:val="00EC5766"/>
    <w:rsid w:val="00EC7819"/>
    <w:rsid w:val="00EC7E7C"/>
    <w:rsid w:val="00ED0034"/>
    <w:rsid w:val="00ED0A49"/>
    <w:rsid w:val="00ED1B5D"/>
    <w:rsid w:val="00ED3AE9"/>
    <w:rsid w:val="00ED776E"/>
    <w:rsid w:val="00EE0C3C"/>
    <w:rsid w:val="00EE0FE0"/>
    <w:rsid w:val="00EE194F"/>
    <w:rsid w:val="00EE373F"/>
    <w:rsid w:val="00EE3F1A"/>
    <w:rsid w:val="00EE5F56"/>
    <w:rsid w:val="00EE6D25"/>
    <w:rsid w:val="00EF076F"/>
    <w:rsid w:val="00EF16FC"/>
    <w:rsid w:val="00EF1885"/>
    <w:rsid w:val="00EF1D79"/>
    <w:rsid w:val="00EF3DB5"/>
    <w:rsid w:val="00EF532A"/>
    <w:rsid w:val="00EF69DA"/>
    <w:rsid w:val="00EF7540"/>
    <w:rsid w:val="00F02E35"/>
    <w:rsid w:val="00F04042"/>
    <w:rsid w:val="00F05CFD"/>
    <w:rsid w:val="00F07BA4"/>
    <w:rsid w:val="00F12F39"/>
    <w:rsid w:val="00F14C0C"/>
    <w:rsid w:val="00F15285"/>
    <w:rsid w:val="00F202EF"/>
    <w:rsid w:val="00F25859"/>
    <w:rsid w:val="00F258F9"/>
    <w:rsid w:val="00F3003C"/>
    <w:rsid w:val="00F30D39"/>
    <w:rsid w:val="00F325AE"/>
    <w:rsid w:val="00F37DA0"/>
    <w:rsid w:val="00F41E78"/>
    <w:rsid w:val="00F44872"/>
    <w:rsid w:val="00F45736"/>
    <w:rsid w:val="00F47CCF"/>
    <w:rsid w:val="00F526E1"/>
    <w:rsid w:val="00F54498"/>
    <w:rsid w:val="00F54D52"/>
    <w:rsid w:val="00F5591C"/>
    <w:rsid w:val="00F563C0"/>
    <w:rsid w:val="00F61733"/>
    <w:rsid w:val="00F65260"/>
    <w:rsid w:val="00F656F8"/>
    <w:rsid w:val="00F676C1"/>
    <w:rsid w:val="00F70F7D"/>
    <w:rsid w:val="00F72065"/>
    <w:rsid w:val="00F74BA9"/>
    <w:rsid w:val="00F7733E"/>
    <w:rsid w:val="00F77889"/>
    <w:rsid w:val="00F81D41"/>
    <w:rsid w:val="00F81E43"/>
    <w:rsid w:val="00F84DC2"/>
    <w:rsid w:val="00F8794E"/>
    <w:rsid w:val="00F9078C"/>
    <w:rsid w:val="00F921D7"/>
    <w:rsid w:val="00F929E2"/>
    <w:rsid w:val="00F939E7"/>
    <w:rsid w:val="00F95C76"/>
    <w:rsid w:val="00FA3F2E"/>
    <w:rsid w:val="00FA7EF0"/>
    <w:rsid w:val="00FB1429"/>
    <w:rsid w:val="00FB1534"/>
    <w:rsid w:val="00FB219F"/>
    <w:rsid w:val="00FB253C"/>
    <w:rsid w:val="00FB26DE"/>
    <w:rsid w:val="00FB2CA7"/>
    <w:rsid w:val="00FB5BE6"/>
    <w:rsid w:val="00FB76DD"/>
    <w:rsid w:val="00FC01FF"/>
    <w:rsid w:val="00FC2C54"/>
    <w:rsid w:val="00FC2ED4"/>
    <w:rsid w:val="00FC5137"/>
    <w:rsid w:val="00FC619A"/>
    <w:rsid w:val="00FD1286"/>
    <w:rsid w:val="00FD21AC"/>
    <w:rsid w:val="00FD24BD"/>
    <w:rsid w:val="00FD58F4"/>
    <w:rsid w:val="00FD5DC5"/>
    <w:rsid w:val="00FD65D7"/>
    <w:rsid w:val="00FD7DCD"/>
    <w:rsid w:val="00FE1916"/>
    <w:rsid w:val="00FE39F8"/>
    <w:rsid w:val="00FE51CE"/>
    <w:rsid w:val="00FF02D8"/>
    <w:rsid w:val="00FF330E"/>
    <w:rsid w:val="00FF3A72"/>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743D"/>
  <w15:chartTrackingRefBased/>
  <w15:docId w15:val="{C0D2197D-8A34-4EAB-80F3-DAD39585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3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23D"/>
    <w:pPr>
      <w:ind w:left="720"/>
      <w:contextualSpacing/>
    </w:pPr>
  </w:style>
  <w:style w:type="paragraph" w:styleId="Footer">
    <w:name w:val="footer"/>
    <w:basedOn w:val="Normal"/>
    <w:link w:val="FooterChar"/>
    <w:uiPriority w:val="99"/>
    <w:unhideWhenUsed/>
    <w:rsid w:val="00C1723D"/>
    <w:pPr>
      <w:tabs>
        <w:tab w:val="center" w:pos="4680"/>
        <w:tab w:val="right" w:pos="9360"/>
      </w:tabs>
    </w:pPr>
  </w:style>
  <w:style w:type="character" w:customStyle="1" w:styleId="FooterChar">
    <w:name w:val="Footer Char"/>
    <w:basedOn w:val="DefaultParagraphFont"/>
    <w:link w:val="Footer"/>
    <w:uiPriority w:val="99"/>
    <w:rsid w:val="00C1723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2726A"/>
    <w:rPr>
      <w:color w:val="0563C1" w:themeColor="hyperlink"/>
      <w:u w:val="single"/>
    </w:rPr>
  </w:style>
  <w:style w:type="character" w:styleId="UnresolvedMention">
    <w:name w:val="Unresolved Mention"/>
    <w:basedOn w:val="DefaultParagraphFont"/>
    <w:uiPriority w:val="99"/>
    <w:semiHidden/>
    <w:unhideWhenUsed/>
    <w:rsid w:val="0002726A"/>
    <w:rPr>
      <w:color w:val="605E5C"/>
      <w:shd w:val="clear" w:color="auto" w:fill="E1DFDD"/>
    </w:rPr>
  </w:style>
  <w:style w:type="paragraph" w:styleId="FootnoteText">
    <w:name w:val="footnote text"/>
    <w:basedOn w:val="Normal"/>
    <w:link w:val="FootnoteTextChar"/>
    <w:uiPriority w:val="99"/>
    <w:semiHidden/>
    <w:unhideWhenUsed/>
    <w:rsid w:val="00426FBD"/>
    <w:rPr>
      <w:sz w:val="20"/>
    </w:rPr>
  </w:style>
  <w:style w:type="character" w:customStyle="1" w:styleId="FootnoteTextChar">
    <w:name w:val="Footnote Text Char"/>
    <w:basedOn w:val="DefaultParagraphFont"/>
    <w:link w:val="FootnoteText"/>
    <w:uiPriority w:val="99"/>
    <w:semiHidden/>
    <w:rsid w:val="00426FB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6FBD"/>
    <w:rPr>
      <w:vertAlign w:val="superscript"/>
    </w:rPr>
  </w:style>
  <w:style w:type="table" w:customStyle="1" w:styleId="TableGrid1">
    <w:name w:val="Table Grid1"/>
    <w:basedOn w:val="TableNormal"/>
    <w:next w:val="TableGrid"/>
    <w:uiPriority w:val="59"/>
    <w:rsid w:val="00E8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1604"/>
    <w:rPr>
      <w:sz w:val="16"/>
      <w:szCs w:val="16"/>
    </w:rPr>
  </w:style>
  <w:style w:type="paragraph" w:styleId="CommentText">
    <w:name w:val="annotation text"/>
    <w:basedOn w:val="Normal"/>
    <w:link w:val="CommentTextChar"/>
    <w:uiPriority w:val="99"/>
    <w:semiHidden/>
    <w:unhideWhenUsed/>
    <w:rsid w:val="003E1604"/>
    <w:rPr>
      <w:sz w:val="20"/>
    </w:rPr>
  </w:style>
  <w:style w:type="character" w:customStyle="1" w:styleId="CommentTextChar">
    <w:name w:val="Comment Text Char"/>
    <w:basedOn w:val="DefaultParagraphFont"/>
    <w:link w:val="CommentText"/>
    <w:uiPriority w:val="99"/>
    <w:semiHidden/>
    <w:rsid w:val="003E16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1604"/>
    <w:rPr>
      <w:b/>
      <w:bCs/>
    </w:rPr>
  </w:style>
  <w:style w:type="character" w:customStyle="1" w:styleId="CommentSubjectChar">
    <w:name w:val="Comment Subject Char"/>
    <w:basedOn w:val="CommentTextChar"/>
    <w:link w:val="CommentSubject"/>
    <w:uiPriority w:val="99"/>
    <w:semiHidden/>
    <w:rsid w:val="003E160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ECA"/>
    <w:rPr>
      <w:color w:val="954F72" w:themeColor="followedHyperlink"/>
      <w:u w:val="single"/>
    </w:rPr>
  </w:style>
  <w:style w:type="paragraph" w:styleId="Header">
    <w:name w:val="header"/>
    <w:basedOn w:val="Normal"/>
    <w:link w:val="HeaderChar"/>
    <w:uiPriority w:val="99"/>
    <w:unhideWhenUsed/>
    <w:rsid w:val="002F792D"/>
    <w:pPr>
      <w:tabs>
        <w:tab w:val="center" w:pos="4680"/>
        <w:tab w:val="right" w:pos="9360"/>
      </w:tabs>
    </w:pPr>
  </w:style>
  <w:style w:type="character" w:customStyle="1" w:styleId="HeaderChar">
    <w:name w:val="Header Char"/>
    <w:basedOn w:val="DefaultParagraphFont"/>
    <w:link w:val="Header"/>
    <w:uiPriority w:val="99"/>
    <w:rsid w:val="002F792D"/>
    <w:rPr>
      <w:rFonts w:ascii="Times New Roman" w:eastAsia="Times New Roman" w:hAnsi="Times New Roman" w:cs="Times New Roman"/>
      <w:sz w:val="24"/>
      <w:szCs w:val="20"/>
    </w:rPr>
  </w:style>
  <w:style w:type="paragraph" w:styleId="TableofAuthorities">
    <w:name w:val="table of authorities"/>
    <w:basedOn w:val="Normal"/>
    <w:next w:val="Normal"/>
    <w:uiPriority w:val="99"/>
    <w:unhideWhenUsed/>
    <w:rsid w:val="00A56684"/>
    <w:pPr>
      <w:ind w:left="240" w:hanging="240"/>
    </w:pPr>
  </w:style>
  <w:style w:type="paragraph" w:styleId="TOAHeading">
    <w:name w:val="toa heading"/>
    <w:basedOn w:val="Normal"/>
    <w:next w:val="Normal"/>
    <w:uiPriority w:val="99"/>
    <w:unhideWhenUsed/>
    <w:rsid w:val="00262353"/>
    <w:pPr>
      <w:spacing w:before="120"/>
    </w:pPr>
    <w:rPr>
      <w:rFonts w:asciiTheme="majorHAnsi" w:eastAsiaTheme="majorEastAsia" w:hAnsiTheme="majorHAnsi" w:cstheme="majorBidi"/>
      <w:b/>
      <w:bCs/>
      <w:szCs w:val="24"/>
    </w:rPr>
  </w:style>
  <w:style w:type="paragraph" w:styleId="Revision">
    <w:name w:val="Revision"/>
    <w:hidden/>
    <w:uiPriority w:val="99"/>
    <w:semiHidden/>
    <w:rsid w:val="00074274"/>
    <w:pPr>
      <w:spacing w:after="0" w:line="240" w:lineRule="auto"/>
    </w:pPr>
    <w:rPr>
      <w:rFonts w:ascii="Times New Roman" w:eastAsia="Times New Roman" w:hAnsi="Times New Roman" w:cs="Times New Roman"/>
      <w:sz w:val="24"/>
      <w:szCs w:val="20"/>
    </w:rPr>
  </w:style>
  <w:style w:type="paragraph" w:customStyle="1" w:styleId="Default">
    <w:name w:val="Default"/>
    <w:rsid w:val="00E65D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6747">
      <w:bodyDiv w:val="1"/>
      <w:marLeft w:val="0"/>
      <w:marRight w:val="0"/>
      <w:marTop w:val="0"/>
      <w:marBottom w:val="0"/>
      <w:divBdr>
        <w:top w:val="none" w:sz="0" w:space="0" w:color="auto"/>
        <w:left w:val="none" w:sz="0" w:space="0" w:color="auto"/>
        <w:bottom w:val="none" w:sz="0" w:space="0" w:color="auto"/>
        <w:right w:val="none" w:sz="0" w:space="0" w:color="auto"/>
      </w:divBdr>
    </w:div>
    <w:div w:id="198392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stice.gov/opa/pr/justice-department-issues-web-accessibility-guidance-under-americans-disabilities-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opa/pr/justice-department-issues-web-accessibility-guidance-under-americans-disabilitie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C2DB-98CC-41A7-AD6D-0CA71640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22</Pages>
  <Words>6015</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Kevin Tucker</cp:lastModifiedBy>
  <cp:revision>50</cp:revision>
  <cp:lastPrinted>2021-05-14T19:03:00Z</cp:lastPrinted>
  <dcterms:created xsi:type="dcterms:W3CDTF">2023-06-05T20:56:00Z</dcterms:created>
  <dcterms:modified xsi:type="dcterms:W3CDTF">2023-06-06T15:07:00Z</dcterms:modified>
</cp:coreProperties>
</file>